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FDDC" w14:textId="77777777" w:rsidR="00993EF6" w:rsidRDefault="00993EF6" w:rsidP="00993EF6">
      <w:pPr>
        <w:spacing w:after="0"/>
        <w:jc w:val="center"/>
        <w:rPr>
          <w:rFonts w:ascii="Arial" w:eastAsia="Arial" w:hAnsi="Arial" w:cs="Arial"/>
          <w:b/>
          <w:sz w:val="24"/>
          <w:szCs w:val="24"/>
        </w:rPr>
      </w:pPr>
    </w:p>
    <w:p w14:paraId="7475BD9B" w14:textId="77777777" w:rsidR="00993EF6" w:rsidRDefault="00993EF6" w:rsidP="00993EF6">
      <w:pPr>
        <w:spacing w:after="0"/>
        <w:jc w:val="center"/>
        <w:rPr>
          <w:rFonts w:ascii="Arial" w:eastAsia="Arial" w:hAnsi="Arial" w:cs="Arial"/>
          <w:b/>
          <w:sz w:val="24"/>
          <w:szCs w:val="24"/>
        </w:rPr>
      </w:pPr>
    </w:p>
    <w:p w14:paraId="63F7D798" w14:textId="77777777" w:rsidR="00993EF6" w:rsidRDefault="00993EF6" w:rsidP="00993EF6">
      <w:pPr>
        <w:spacing w:after="0"/>
        <w:jc w:val="center"/>
        <w:rPr>
          <w:rFonts w:ascii="Arial" w:eastAsia="Arial" w:hAnsi="Arial" w:cs="Arial"/>
          <w:b/>
          <w:sz w:val="24"/>
          <w:szCs w:val="24"/>
        </w:rPr>
      </w:pPr>
    </w:p>
    <w:p w14:paraId="3616DED3" w14:textId="77777777" w:rsidR="00993EF6" w:rsidRDefault="00993EF6" w:rsidP="00993EF6">
      <w:pPr>
        <w:spacing w:after="0"/>
        <w:jc w:val="center"/>
        <w:rPr>
          <w:rFonts w:ascii="Arial" w:eastAsia="Arial" w:hAnsi="Arial" w:cs="Arial"/>
          <w:b/>
          <w:sz w:val="24"/>
          <w:szCs w:val="24"/>
        </w:rPr>
      </w:pPr>
    </w:p>
    <w:p w14:paraId="266F211E" w14:textId="77777777" w:rsidR="00993EF6" w:rsidRDefault="00993EF6" w:rsidP="00993EF6">
      <w:pPr>
        <w:spacing w:after="0"/>
        <w:jc w:val="center"/>
        <w:rPr>
          <w:rFonts w:ascii="Arial" w:eastAsia="Arial" w:hAnsi="Arial" w:cs="Arial"/>
          <w:b/>
          <w:sz w:val="24"/>
          <w:szCs w:val="24"/>
        </w:rPr>
      </w:pPr>
    </w:p>
    <w:p w14:paraId="00000001" w14:textId="77777777" w:rsidR="003C3F1C" w:rsidRDefault="00B35CD0">
      <w:pPr>
        <w:spacing w:after="0"/>
        <w:jc w:val="center"/>
        <w:rPr>
          <w:rFonts w:ascii="Arial" w:eastAsia="Arial" w:hAnsi="Arial" w:cs="Arial"/>
          <w:b/>
          <w:sz w:val="24"/>
          <w:szCs w:val="24"/>
        </w:rPr>
      </w:pPr>
      <w:r>
        <w:rPr>
          <w:rFonts w:ascii="Arial" w:eastAsia="Arial" w:hAnsi="Arial" w:cs="Arial"/>
          <w:b/>
          <w:sz w:val="24"/>
          <w:szCs w:val="24"/>
        </w:rPr>
        <w:t>PROGRAMA DE TALLER DE TRABAJO UNIVERSITARIO</w:t>
      </w:r>
    </w:p>
    <w:p w14:paraId="00000002" w14:textId="77777777" w:rsidR="003C3F1C" w:rsidRDefault="003C3F1C">
      <w:pPr>
        <w:spacing w:after="0"/>
        <w:jc w:val="center"/>
        <w:rPr>
          <w:rFonts w:ascii="Arial" w:eastAsia="Arial" w:hAnsi="Arial" w:cs="Arial"/>
          <w:b/>
          <w:sz w:val="24"/>
          <w:szCs w:val="24"/>
        </w:rPr>
      </w:pPr>
    </w:p>
    <w:p w14:paraId="00000003" w14:textId="1604CB84" w:rsidR="003C3F1C" w:rsidRDefault="00B35CD0">
      <w:pPr>
        <w:spacing w:before="120" w:after="0"/>
        <w:jc w:val="both"/>
        <w:rPr>
          <w:rFonts w:ascii="Arial" w:eastAsia="Arial" w:hAnsi="Arial" w:cs="Arial"/>
          <w:sz w:val="24"/>
          <w:szCs w:val="24"/>
        </w:rPr>
      </w:pPr>
      <w:r>
        <w:rPr>
          <w:rFonts w:ascii="Arial" w:eastAsia="Arial" w:hAnsi="Arial" w:cs="Arial"/>
          <w:b/>
          <w:sz w:val="24"/>
          <w:szCs w:val="24"/>
        </w:rPr>
        <w:t xml:space="preserve">Carrera: </w:t>
      </w:r>
      <w:r w:rsidR="007A581F">
        <w:rPr>
          <w:rFonts w:ascii="Arial" w:eastAsia="Arial" w:hAnsi="Arial" w:cs="Arial"/>
          <w:sz w:val="24"/>
          <w:szCs w:val="24"/>
        </w:rPr>
        <w:t>Arquitectura Naval</w:t>
      </w:r>
    </w:p>
    <w:p w14:paraId="00000004" w14:textId="77777777" w:rsidR="003C3F1C" w:rsidRDefault="00B35CD0">
      <w:pPr>
        <w:spacing w:before="120" w:after="0"/>
        <w:jc w:val="both"/>
        <w:rPr>
          <w:rFonts w:ascii="Arial" w:eastAsia="Arial" w:hAnsi="Arial" w:cs="Arial"/>
          <w:sz w:val="24"/>
          <w:szCs w:val="24"/>
        </w:rPr>
      </w:pPr>
      <w:r>
        <w:rPr>
          <w:rFonts w:ascii="Arial" w:eastAsia="Arial" w:hAnsi="Arial" w:cs="Arial"/>
          <w:b/>
          <w:sz w:val="24"/>
          <w:szCs w:val="24"/>
        </w:rPr>
        <w:t xml:space="preserve">Asignatura: </w:t>
      </w:r>
      <w:r>
        <w:rPr>
          <w:rFonts w:ascii="Arial" w:eastAsia="Arial" w:hAnsi="Arial" w:cs="Arial"/>
          <w:sz w:val="24"/>
          <w:szCs w:val="24"/>
        </w:rPr>
        <w:t>Taller de Trabajo Universitario</w:t>
      </w:r>
    </w:p>
    <w:p w14:paraId="00000005" w14:textId="28ED2ED0" w:rsidR="003C3F1C" w:rsidRDefault="00B35CD0">
      <w:pPr>
        <w:spacing w:before="120" w:after="0"/>
        <w:jc w:val="both"/>
        <w:rPr>
          <w:rFonts w:ascii="Arial" w:eastAsia="Arial" w:hAnsi="Arial" w:cs="Arial"/>
          <w:sz w:val="24"/>
          <w:szCs w:val="24"/>
        </w:rPr>
      </w:pPr>
      <w:r>
        <w:rPr>
          <w:rFonts w:ascii="Arial" w:eastAsia="Arial" w:hAnsi="Arial" w:cs="Arial"/>
          <w:b/>
          <w:sz w:val="24"/>
          <w:szCs w:val="24"/>
        </w:rPr>
        <w:t xml:space="preserve">Núcleo al que pertenece: </w:t>
      </w:r>
      <w:r>
        <w:rPr>
          <w:rFonts w:ascii="Arial" w:eastAsia="Arial" w:hAnsi="Arial" w:cs="Arial"/>
          <w:sz w:val="24"/>
          <w:szCs w:val="24"/>
        </w:rPr>
        <w:t>Requisito curricular</w:t>
      </w:r>
      <w:r w:rsidR="008A663B">
        <w:rPr>
          <w:rFonts w:ascii="Arial" w:eastAsia="Arial" w:hAnsi="Arial" w:cs="Arial"/>
          <w:sz w:val="24"/>
          <w:szCs w:val="24"/>
        </w:rPr>
        <w:t xml:space="preserve"> del</w:t>
      </w:r>
      <w:r>
        <w:rPr>
          <w:rFonts w:ascii="Arial" w:eastAsia="Arial" w:hAnsi="Arial" w:cs="Arial"/>
          <w:sz w:val="24"/>
          <w:szCs w:val="24"/>
        </w:rPr>
        <w:t xml:space="preserve"> </w:t>
      </w:r>
      <w:r>
        <w:rPr>
          <w:rFonts w:ascii="Arial" w:eastAsia="Arial" w:hAnsi="Arial" w:cs="Arial"/>
          <w:color w:val="333333"/>
          <w:sz w:val="24"/>
          <w:szCs w:val="24"/>
          <w:highlight w:val="white"/>
        </w:rPr>
        <w:t>Ciclo Inicial</w:t>
      </w:r>
      <w:bookmarkStart w:id="0" w:name="_Hlk75261189"/>
      <w:r w:rsidR="007A581F" w:rsidRPr="006758D2">
        <w:rPr>
          <w:rStyle w:val="Refdenotaalpie"/>
          <w:rFonts w:ascii="Arial" w:hAnsi="Arial" w:cs="Arial"/>
          <w:i/>
          <w:sz w:val="24"/>
          <w:szCs w:val="24"/>
        </w:rPr>
        <w:footnoteReference w:id="1"/>
      </w:r>
      <w:bookmarkEnd w:id="0"/>
    </w:p>
    <w:p w14:paraId="00000006" w14:textId="52B88689" w:rsidR="003C3F1C" w:rsidRDefault="00B35CD0">
      <w:pPr>
        <w:spacing w:before="120" w:after="0"/>
        <w:jc w:val="both"/>
        <w:rPr>
          <w:rFonts w:ascii="Arial" w:eastAsia="Arial" w:hAnsi="Arial" w:cs="Arial"/>
          <w:sz w:val="24"/>
          <w:szCs w:val="24"/>
        </w:rPr>
      </w:pPr>
      <w:r>
        <w:rPr>
          <w:rFonts w:ascii="Arial" w:eastAsia="Arial" w:hAnsi="Arial" w:cs="Arial"/>
          <w:b/>
          <w:sz w:val="24"/>
          <w:szCs w:val="24"/>
        </w:rPr>
        <w:t xml:space="preserve">Docentes: </w:t>
      </w:r>
      <w:r>
        <w:rPr>
          <w:rFonts w:ascii="Arial" w:eastAsia="Arial" w:hAnsi="Arial" w:cs="Arial"/>
          <w:sz w:val="24"/>
          <w:szCs w:val="24"/>
        </w:rPr>
        <w:t>Flores, Jorge - García, Maximiliano Hugo</w:t>
      </w:r>
    </w:p>
    <w:p w14:paraId="00000007" w14:textId="77777777" w:rsidR="003C3F1C" w:rsidRDefault="00B35CD0">
      <w:pPr>
        <w:spacing w:before="120" w:after="0"/>
        <w:jc w:val="both"/>
        <w:rPr>
          <w:rFonts w:ascii="Arial" w:eastAsia="Arial" w:hAnsi="Arial" w:cs="Arial"/>
          <w:sz w:val="24"/>
          <w:szCs w:val="24"/>
        </w:rPr>
      </w:pPr>
      <w:bookmarkStart w:id="1" w:name="_heading=h.gjdgxs" w:colFirst="0" w:colLast="0"/>
      <w:bookmarkEnd w:id="1"/>
      <w:r>
        <w:rPr>
          <w:rFonts w:ascii="Arial" w:eastAsia="Arial" w:hAnsi="Arial" w:cs="Arial"/>
          <w:b/>
          <w:sz w:val="24"/>
          <w:szCs w:val="24"/>
        </w:rPr>
        <w:t xml:space="preserve">Prerrequisito obligatorio: </w:t>
      </w:r>
      <w:r>
        <w:rPr>
          <w:rFonts w:ascii="Arial" w:eastAsia="Arial" w:hAnsi="Arial" w:cs="Arial"/>
          <w:sz w:val="24"/>
          <w:szCs w:val="24"/>
        </w:rPr>
        <w:t>no posee</w:t>
      </w:r>
    </w:p>
    <w:p w14:paraId="00000008" w14:textId="77777777" w:rsidR="003C3F1C" w:rsidRDefault="003C3F1C">
      <w:pPr>
        <w:tabs>
          <w:tab w:val="left" w:pos="2943"/>
        </w:tabs>
        <w:jc w:val="both"/>
        <w:rPr>
          <w:rFonts w:ascii="Arial" w:eastAsia="Arial" w:hAnsi="Arial" w:cs="Arial"/>
          <w:b/>
          <w:sz w:val="24"/>
          <w:szCs w:val="24"/>
        </w:rPr>
      </w:pPr>
    </w:p>
    <w:p w14:paraId="00000009" w14:textId="77777777" w:rsidR="003C3F1C" w:rsidRDefault="00B35CD0">
      <w:pPr>
        <w:tabs>
          <w:tab w:val="left" w:pos="3518"/>
        </w:tabs>
        <w:spacing w:before="120" w:line="360" w:lineRule="auto"/>
        <w:jc w:val="both"/>
        <w:rPr>
          <w:rFonts w:ascii="Arial" w:eastAsia="Arial" w:hAnsi="Arial" w:cs="Arial"/>
          <w:b/>
          <w:sz w:val="24"/>
          <w:szCs w:val="24"/>
        </w:rPr>
      </w:pPr>
      <w:r>
        <w:rPr>
          <w:rFonts w:ascii="Arial" w:eastAsia="Arial" w:hAnsi="Arial" w:cs="Arial"/>
          <w:b/>
          <w:sz w:val="24"/>
          <w:szCs w:val="24"/>
        </w:rPr>
        <w:t xml:space="preserve">Objetivos </w:t>
      </w:r>
    </w:p>
    <w:p w14:paraId="0000000A" w14:textId="625B3900" w:rsidR="003C3F1C" w:rsidRDefault="00B35CD0">
      <w:pPr>
        <w:tabs>
          <w:tab w:val="left" w:pos="3518"/>
        </w:tabs>
        <w:spacing w:before="120" w:line="360" w:lineRule="auto"/>
        <w:jc w:val="both"/>
        <w:rPr>
          <w:rFonts w:ascii="Arial" w:eastAsia="Arial" w:hAnsi="Arial" w:cs="Arial"/>
          <w:b/>
          <w:sz w:val="24"/>
          <w:szCs w:val="24"/>
        </w:rPr>
      </w:pPr>
      <w:r>
        <w:rPr>
          <w:rFonts w:ascii="Arial" w:eastAsia="Arial" w:hAnsi="Arial" w:cs="Arial"/>
          <w:sz w:val="24"/>
          <w:szCs w:val="24"/>
        </w:rPr>
        <w:t xml:space="preserve">El propósito de formación del Taller de Trabajo Universitario es que quienes lo cursen se apropien de herramientas analíticas que les permitan participar de los debates actuales en el campo de la educación superior desde una perspectiva socio histórica y política. Desde el punto de vista metodológico el Taller se propone orientar y profundizar las competencias de comprensión y producción de textos desarrolladas por </w:t>
      </w:r>
      <w:r w:rsidR="00C83B70">
        <w:rPr>
          <w:rFonts w:ascii="Arial" w:eastAsia="Arial" w:hAnsi="Arial" w:cs="Arial"/>
          <w:sz w:val="24"/>
          <w:szCs w:val="24"/>
        </w:rPr>
        <w:t>el estudiantado</w:t>
      </w:r>
      <w:r>
        <w:rPr>
          <w:rFonts w:ascii="Arial" w:eastAsia="Arial" w:hAnsi="Arial" w:cs="Arial"/>
          <w:sz w:val="24"/>
          <w:szCs w:val="24"/>
        </w:rPr>
        <w:t xml:space="preserve"> durante el Ciclo de Formación Inicial. </w:t>
      </w:r>
    </w:p>
    <w:p w14:paraId="0000000B" w14:textId="77777777" w:rsidR="003C3F1C" w:rsidRDefault="00B35CD0">
      <w:pPr>
        <w:spacing w:before="120" w:after="0" w:line="360" w:lineRule="auto"/>
        <w:jc w:val="both"/>
        <w:rPr>
          <w:rFonts w:ascii="Arial" w:eastAsia="Arial" w:hAnsi="Arial" w:cs="Arial"/>
          <w:sz w:val="24"/>
          <w:szCs w:val="24"/>
          <w:u w:val="single"/>
        </w:rPr>
      </w:pPr>
      <w:r>
        <w:rPr>
          <w:rFonts w:ascii="Arial" w:eastAsia="Arial" w:hAnsi="Arial" w:cs="Arial"/>
          <w:sz w:val="24"/>
          <w:szCs w:val="24"/>
          <w:u w:val="single"/>
        </w:rPr>
        <w:t>Objetivos Generales</w:t>
      </w:r>
    </w:p>
    <w:p w14:paraId="0000000C" w14:textId="62364AF0"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Se espera que quienes cursen la asignatura logren:</w:t>
      </w:r>
    </w:p>
    <w:p w14:paraId="0000000D" w14:textId="77777777" w:rsidR="003C3F1C" w:rsidRDefault="00B35CD0">
      <w:pPr>
        <w:numPr>
          <w:ilvl w:val="0"/>
          <w:numId w:val="1"/>
        </w:numPr>
        <w:spacing w:before="120" w:after="0" w:line="360" w:lineRule="auto"/>
        <w:jc w:val="both"/>
        <w:rPr>
          <w:rFonts w:ascii="Arial" w:eastAsia="Arial" w:hAnsi="Arial" w:cs="Arial"/>
          <w:sz w:val="24"/>
          <w:szCs w:val="24"/>
        </w:rPr>
      </w:pPr>
      <w:r>
        <w:rPr>
          <w:rFonts w:ascii="Arial" w:eastAsia="Arial" w:hAnsi="Arial" w:cs="Arial"/>
          <w:sz w:val="24"/>
          <w:szCs w:val="24"/>
        </w:rPr>
        <w:t>caracterizar el desarrollo de las Universidad Pública haciendo especial referencia a su contexto socio histórico,</w:t>
      </w:r>
    </w:p>
    <w:p w14:paraId="0000000E" w14:textId="77777777" w:rsidR="003C3F1C" w:rsidRDefault="00B35CD0">
      <w:pPr>
        <w:numPr>
          <w:ilvl w:val="0"/>
          <w:numId w:val="1"/>
        </w:numPr>
        <w:spacing w:before="120" w:after="0" w:line="360" w:lineRule="auto"/>
        <w:jc w:val="both"/>
        <w:rPr>
          <w:rFonts w:ascii="Arial" w:eastAsia="Arial" w:hAnsi="Arial" w:cs="Arial"/>
          <w:b/>
          <w:sz w:val="24"/>
          <w:szCs w:val="24"/>
        </w:rPr>
      </w:pPr>
      <w:r>
        <w:rPr>
          <w:rFonts w:ascii="Arial" w:eastAsia="Arial" w:hAnsi="Arial" w:cs="Arial"/>
          <w:sz w:val="24"/>
          <w:szCs w:val="24"/>
        </w:rPr>
        <w:t xml:space="preserve">identificar los ejes del debate actual alrededor de la cuestión universitaria y su construcción como problema político, </w:t>
      </w:r>
    </w:p>
    <w:p w14:paraId="0000000F" w14:textId="77777777" w:rsidR="003C3F1C" w:rsidRDefault="00B35CD0">
      <w:pPr>
        <w:numPr>
          <w:ilvl w:val="0"/>
          <w:numId w:val="1"/>
        </w:numPr>
        <w:spacing w:before="120" w:after="0" w:line="360" w:lineRule="auto"/>
        <w:jc w:val="both"/>
        <w:rPr>
          <w:rFonts w:ascii="Arial" w:eastAsia="Arial" w:hAnsi="Arial" w:cs="Arial"/>
          <w:b/>
          <w:sz w:val="24"/>
          <w:szCs w:val="24"/>
        </w:rPr>
      </w:pPr>
      <w:r>
        <w:rPr>
          <w:rFonts w:ascii="Arial" w:eastAsia="Arial" w:hAnsi="Arial" w:cs="Arial"/>
          <w:sz w:val="24"/>
          <w:szCs w:val="24"/>
        </w:rPr>
        <w:t xml:space="preserve">desarrollar un correcto manejo de las fuentes e instrumentos de análisis para la producción de géneros discursivos académicos. </w:t>
      </w:r>
    </w:p>
    <w:p w14:paraId="00000010" w14:textId="77777777" w:rsidR="003C3F1C" w:rsidRDefault="00B35CD0">
      <w:pPr>
        <w:spacing w:before="120" w:after="0" w:line="360" w:lineRule="auto"/>
        <w:jc w:val="both"/>
        <w:rPr>
          <w:rFonts w:ascii="Arial" w:eastAsia="Arial" w:hAnsi="Arial" w:cs="Arial"/>
          <w:sz w:val="24"/>
          <w:szCs w:val="24"/>
          <w:u w:val="single"/>
        </w:rPr>
      </w:pPr>
      <w:r>
        <w:rPr>
          <w:rFonts w:ascii="Arial" w:eastAsia="Arial" w:hAnsi="Arial" w:cs="Arial"/>
          <w:sz w:val="24"/>
          <w:szCs w:val="24"/>
          <w:u w:val="single"/>
        </w:rPr>
        <w:t xml:space="preserve">Objetivos específicos </w:t>
      </w:r>
    </w:p>
    <w:p w14:paraId="00000011" w14:textId="61A01A71"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Se espera que quienes cursen la asignatura logren:</w:t>
      </w:r>
    </w:p>
    <w:p w14:paraId="00000012" w14:textId="77777777" w:rsidR="003C3F1C" w:rsidRDefault="00B35CD0">
      <w:pPr>
        <w:numPr>
          <w:ilvl w:val="0"/>
          <w:numId w:val="2"/>
        </w:numPr>
        <w:spacing w:before="120" w:after="0" w:line="360" w:lineRule="auto"/>
        <w:jc w:val="both"/>
        <w:rPr>
          <w:rFonts w:ascii="Arial" w:eastAsia="Arial" w:hAnsi="Arial" w:cs="Arial"/>
          <w:sz w:val="24"/>
          <w:szCs w:val="24"/>
        </w:rPr>
      </w:pPr>
      <w:r>
        <w:rPr>
          <w:rFonts w:ascii="Arial" w:eastAsia="Arial" w:hAnsi="Arial" w:cs="Arial"/>
          <w:sz w:val="24"/>
          <w:szCs w:val="24"/>
        </w:rPr>
        <w:t>formular hipótesis explicativas referidas a la política universitaria,</w:t>
      </w:r>
    </w:p>
    <w:p w14:paraId="00000013" w14:textId="77777777" w:rsidR="003C3F1C" w:rsidRDefault="00B35CD0">
      <w:pPr>
        <w:numPr>
          <w:ilvl w:val="0"/>
          <w:numId w:val="2"/>
        </w:numPr>
        <w:spacing w:before="120" w:after="0" w:line="360" w:lineRule="auto"/>
        <w:jc w:val="both"/>
        <w:rPr>
          <w:rFonts w:ascii="Arial" w:eastAsia="Arial" w:hAnsi="Arial" w:cs="Arial"/>
          <w:sz w:val="24"/>
          <w:szCs w:val="24"/>
        </w:rPr>
      </w:pPr>
      <w:r>
        <w:rPr>
          <w:rFonts w:ascii="Arial" w:eastAsia="Arial" w:hAnsi="Arial" w:cs="Arial"/>
          <w:sz w:val="24"/>
          <w:szCs w:val="24"/>
        </w:rPr>
        <w:lastRenderedPageBreak/>
        <w:t>comprender críticamente a la política universitaria,</w:t>
      </w:r>
    </w:p>
    <w:p w14:paraId="00000014" w14:textId="77777777" w:rsidR="003C3F1C" w:rsidRDefault="00B35CD0">
      <w:pPr>
        <w:numPr>
          <w:ilvl w:val="0"/>
          <w:numId w:val="2"/>
        </w:numPr>
        <w:spacing w:before="120" w:after="0" w:line="360" w:lineRule="auto"/>
        <w:jc w:val="both"/>
        <w:rPr>
          <w:rFonts w:ascii="Arial" w:eastAsia="Arial" w:hAnsi="Arial" w:cs="Arial"/>
          <w:sz w:val="24"/>
          <w:szCs w:val="24"/>
        </w:rPr>
      </w:pPr>
      <w:r>
        <w:rPr>
          <w:rFonts w:ascii="Arial" w:eastAsia="Arial" w:hAnsi="Arial" w:cs="Arial"/>
          <w:sz w:val="24"/>
          <w:szCs w:val="24"/>
        </w:rPr>
        <w:t>desarrollar un juicio crítico profundizando la perspectiva teórica elegida sin desconocer la pluralidad de los aportes a la cuestión universitaria,</w:t>
      </w:r>
    </w:p>
    <w:p w14:paraId="00000015" w14:textId="77777777" w:rsidR="003C3F1C" w:rsidRDefault="00B35CD0">
      <w:pPr>
        <w:numPr>
          <w:ilvl w:val="0"/>
          <w:numId w:val="2"/>
        </w:numPr>
        <w:spacing w:before="120" w:after="0" w:line="360" w:lineRule="auto"/>
        <w:jc w:val="both"/>
        <w:rPr>
          <w:rFonts w:ascii="Arial" w:eastAsia="Arial" w:hAnsi="Arial" w:cs="Arial"/>
          <w:sz w:val="24"/>
          <w:szCs w:val="24"/>
        </w:rPr>
      </w:pPr>
      <w:r>
        <w:rPr>
          <w:rFonts w:ascii="Arial" w:eastAsia="Arial" w:hAnsi="Arial" w:cs="Arial"/>
          <w:sz w:val="24"/>
          <w:szCs w:val="24"/>
        </w:rPr>
        <w:t>analizar y comprender los textos de Bibliografía Obligatoria,</w:t>
      </w:r>
    </w:p>
    <w:p w14:paraId="00000016" w14:textId="77777777" w:rsidR="003C3F1C" w:rsidRDefault="00B35CD0">
      <w:pPr>
        <w:numPr>
          <w:ilvl w:val="0"/>
          <w:numId w:val="2"/>
        </w:numPr>
        <w:spacing w:before="120" w:after="0" w:line="360" w:lineRule="auto"/>
        <w:jc w:val="both"/>
        <w:rPr>
          <w:rFonts w:ascii="Arial" w:eastAsia="Arial" w:hAnsi="Arial" w:cs="Arial"/>
          <w:sz w:val="24"/>
          <w:szCs w:val="24"/>
        </w:rPr>
      </w:pPr>
      <w:r>
        <w:rPr>
          <w:rFonts w:ascii="Arial" w:eastAsia="Arial" w:hAnsi="Arial" w:cs="Arial"/>
          <w:sz w:val="24"/>
          <w:szCs w:val="24"/>
        </w:rPr>
        <w:t>producir textos eficaces de creciente complejidad.</w:t>
      </w:r>
    </w:p>
    <w:p w14:paraId="00000017" w14:textId="77777777" w:rsidR="003C3F1C" w:rsidRDefault="003C3F1C">
      <w:pPr>
        <w:spacing w:before="120" w:after="0" w:line="360" w:lineRule="auto"/>
        <w:jc w:val="both"/>
        <w:rPr>
          <w:rFonts w:ascii="Arial" w:eastAsia="Arial" w:hAnsi="Arial" w:cs="Arial"/>
          <w:sz w:val="24"/>
          <w:szCs w:val="24"/>
        </w:rPr>
      </w:pPr>
    </w:p>
    <w:p w14:paraId="00000018" w14:textId="77777777" w:rsidR="003C3F1C" w:rsidRDefault="00B35CD0">
      <w:pPr>
        <w:spacing w:before="120" w:after="0" w:line="360" w:lineRule="auto"/>
        <w:jc w:val="both"/>
        <w:rPr>
          <w:rFonts w:ascii="Arial" w:eastAsia="Arial" w:hAnsi="Arial" w:cs="Arial"/>
          <w:b/>
          <w:sz w:val="24"/>
          <w:szCs w:val="24"/>
        </w:rPr>
      </w:pPr>
      <w:r>
        <w:rPr>
          <w:rFonts w:ascii="Arial" w:eastAsia="Arial" w:hAnsi="Arial" w:cs="Arial"/>
          <w:b/>
          <w:sz w:val="24"/>
          <w:szCs w:val="24"/>
        </w:rPr>
        <w:t>Contenidos mínimos</w:t>
      </w:r>
    </w:p>
    <w:p w14:paraId="00000019"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Sistemas de cogobierno universitario. Ley de Educación Superior. Estatuto. Organigrama de la Universidad. Centros de Estudiantes. Reglamentaciones. Problemáticas universitarias. Sistema de becas y pasantías.</w:t>
      </w:r>
    </w:p>
    <w:p w14:paraId="0000001A" w14:textId="77777777" w:rsidR="003C3F1C" w:rsidRDefault="003C3F1C">
      <w:pPr>
        <w:spacing w:after="0" w:line="360" w:lineRule="auto"/>
        <w:jc w:val="both"/>
        <w:rPr>
          <w:rFonts w:ascii="Arial" w:eastAsia="Arial" w:hAnsi="Arial" w:cs="Arial"/>
          <w:b/>
          <w:sz w:val="24"/>
          <w:szCs w:val="24"/>
        </w:rPr>
      </w:pPr>
    </w:p>
    <w:p w14:paraId="0000001B" w14:textId="0C6AC9D7" w:rsidR="003C3F1C" w:rsidRDefault="00B35CD0">
      <w:pPr>
        <w:spacing w:after="0" w:line="360" w:lineRule="auto"/>
        <w:jc w:val="both"/>
        <w:rPr>
          <w:rFonts w:ascii="Arial" w:eastAsia="Arial" w:hAnsi="Arial" w:cs="Arial"/>
          <w:sz w:val="24"/>
          <w:szCs w:val="24"/>
        </w:rPr>
      </w:pPr>
      <w:r>
        <w:rPr>
          <w:rFonts w:ascii="Arial" w:eastAsia="Arial" w:hAnsi="Arial" w:cs="Arial"/>
          <w:b/>
          <w:sz w:val="24"/>
          <w:szCs w:val="24"/>
        </w:rPr>
        <w:t xml:space="preserve">Carga horaria: </w:t>
      </w:r>
      <w:r>
        <w:rPr>
          <w:rFonts w:ascii="Arial" w:eastAsia="Arial" w:hAnsi="Arial" w:cs="Arial"/>
          <w:sz w:val="24"/>
          <w:szCs w:val="24"/>
        </w:rPr>
        <w:t>2 horas semanales</w:t>
      </w:r>
    </w:p>
    <w:p w14:paraId="0000001C" w14:textId="77777777" w:rsidR="003C3F1C" w:rsidRDefault="003C3F1C">
      <w:pPr>
        <w:spacing w:before="120" w:after="0" w:line="360" w:lineRule="auto"/>
        <w:jc w:val="both"/>
        <w:rPr>
          <w:rFonts w:ascii="Arial" w:eastAsia="Arial" w:hAnsi="Arial" w:cs="Arial"/>
          <w:sz w:val="24"/>
          <w:szCs w:val="24"/>
        </w:rPr>
      </w:pPr>
    </w:p>
    <w:p w14:paraId="0000001D" w14:textId="77777777" w:rsidR="003C3F1C" w:rsidRDefault="00B35CD0">
      <w:pPr>
        <w:spacing w:after="0" w:line="360" w:lineRule="auto"/>
        <w:jc w:val="both"/>
        <w:rPr>
          <w:rFonts w:ascii="Arial" w:eastAsia="Arial" w:hAnsi="Arial" w:cs="Arial"/>
          <w:sz w:val="24"/>
          <w:szCs w:val="24"/>
        </w:rPr>
      </w:pPr>
      <w:r>
        <w:rPr>
          <w:rFonts w:ascii="Arial" w:eastAsia="Arial" w:hAnsi="Arial" w:cs="Arial"/>
          <w:b/>
          <w:sz w:val="24"/>
          <w:szCs w:val="24"/>
        </w:rPr>
        <w:t>Programa analítico</w:t>
      </w:r>
    </w:p>
    <w:p w14:paraId="0000001E"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b/>
          <w:sz w:val="24"/>
          <w:szCs w:val="24"/>
        </w:rPr>
        <w:t>Unidad 1: Políticas y Universidad en la Argentina</w:t>
      </w:r>
      <w:r>
        <w:rPr>
          <w:rFonts w:ascii="Arial" w:eastAsia="Arial" w:hAnsi="Arial" w:cs="Arial"/>
          <w:sz w:val="24"/>
          <w:szCs w:val="24"/>
        </w:rPr>
        <w:t>. La Reforma Universitaria como movimiento político cultural. El contexto socio histórico nacional. La docencia libre y el cogobierno. El Principio de autonomía y autarquía: su desarrollo histórico a través de la organización universitaria y la respuesta de los poderes públicos.</w:t>
      </w:r>
    </w:p>
    <w:p w14:paraId="0000001F" w14:textId="77777777" w:rsidR="003C3F1C" w:rsidRDefault="00B35CD0">
      <w:pPr>
        <w:spacing w:before="120" w:after="0" w:line="360" w:lineRule="auto"/>
        <w:jc w:val="both"/>
        <w:rPr>
          <w:rFonts w:ascii="Arial" w:eastAsia="Arial" w:hAnsi="Arial" w:cs="Arial"/>
          <w:b/>
          <w:sz w:val="24"/>
          <w:szCs w:val="24"/>
          <w:u w:val="single"/>
        </w:rPr>
      </w:pPr>
      <w:r>
        <w:rPr>
          <w:rFonts w:ascii="Arial" w:eastAsia="Arial" w:hAnsi="Arial" w:cs="Arial"/>
          <w:b/>
          <w:sz w:val="24"/>
          <w:szCs w:val="24"/>
          <w:u w:val="single"/>
        </w:rPr>
        <w:t>Bibliografía Obligatoria:</w:t>
      </w:r>
    </w:p>
    <w:p w14:paraId="00000020"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Buchbinder</w:t>
      </w:r>
      <w:proofErr w:type="spellEnd"/>
      <w:r>
        <w:rPr>
          <w:rFonts w:ascii="Arial" w:eastAsia="Arial" w:hAnsi="Arial" w:cs="Arial"/>
          <w:sz w:val="24"/>
          <w:szCs w:val="24"/>
        </w:rPr>
        <w:t>, Pablo</w:t>
      </w:r>
      <w:r>
        <w:rPr>
          <w:rFonts w:ascii="Arial" w:eastAsia="Arial" w:hAnsi="Arial" w:cs="Arial"/>
          <w:sz w:val="24"/>
          <w:szCs w:val="24"/>
          <w:u w:val="single"/>
        </w:rPr>
        <w:t xml:space="preserve">: </w:t>
      </w:r>
      <w:r>
        <w:rPr>
          <w:rFonts w:ascii="Arial" w:eastAsia="Arial" w:hAnsi="Arial" w:cs="Arial"/>
          <w:i/>
          <w:sz w:val="24"/>
          <w:szCs w:val="24"/>
          <w:u w:val="single"/>
        </w:rPr>
        <w:t>Historia de las Universidades, Capitulo 5</w:t>
      </w:r>
      <w:r>
        <w:rPr>
          <w:rFonts w:ascii="Arial" w:eastAsia="Arial" w:hAnsi="Arial" w:cs="Arial"/>
          <w:sz w:val="24"/>
          <w:szCs w:val="24"/>
        </w:rPr>
        <w:t xml:space="preserve">.  Editorial Sudamericana. Segunda Edición. Buenos Aires, 2010. </w:t>
      </w:r>
    </w:p>
    <w:p w14:paraId="00000021"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Buchbinder</w:t>
      </w:r>
      <w:proofErr w:type="spellEnd"/>
      <w:r>
        <w:rPr>
          <w:rFonts w:ascii="Arial" w:eastAsia="Arial" w:hAnsi="Arial" w:cs="Arial"/>
          <w:sz w:val="24"/>
          <w:szCs w:val="24"/>
        </w:rPr>
        <w:t xml:space="preserve">, Pablo: </w:t>
      </w:r>
      <w:r>
        <w:rPr>
          <w:rFonts w:ascii="Arial" w:eastAsia="Arial" w:hAnsi="Arial" w:cs="Arial"/>
          <w:i/>
          <w:sz w:val="24"/>
          <w:szCs w:val="24"/>
          <w:u w:val="single"/>
        </w:rPr>
        <w:t>La Universidad en los debates parlamentarios, selección y estudio preliminar</w:t>
      </w:r>
      <w:r>
        <w:rPr>
          <w:rFonts w:ascii="Arial" w:eastAsia="Arial" w:hAnsi="Arial" w:cs="Arial"/>
          <w:sz w:val="24"/>
          <w:szCs w:val="24"/>
        </w:rPr>
        <w:t xml:space="preserve">. Secretaria de Relaciones Parlamentarias de la Jefatura de Gabinete de </w:t>
      </w:r>
      <w:proofErr w:type="gramStart"/>
      <w:r>
        <w:rPr>
          <w:rFonts w:ascii="Arial" w:eastAsia="Arial" w:hAnsi="Arial" w:cs="Arial"/>
          <w:sz w:val="24"/>
          <w:szCs w:val="24"/>
        </w:rPr>
        <w:t>Ministros</w:t>
      </w:r>
      <w:proofErr w:type="gramEnd"/>
      <w:r>
        <w:rPr>
          <w:rFonts w:ascii="Arial" w:eastAsia="Arial" w:hAnsi="Arial" w:cs="Arial"/>
          <w:sz w:val="24"/>
          <w:szCs w:val="24"/>
        </w:rPr>
        <w:t>. Editorial de la Universidad Nacional de General Sarmiento. Buenos Aires, 2012.</w:t>
      </w:r>
    </w:p>
    <w:p w14:paraId="00000022"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Cataruzza</w:t>
      </w:r>
      <w:proofErr w:type="spellEnd"/>
      <w:r>
        <w:rPr>
          <w:rFonts w:ascii="Arial" w:eastAsia="Arial" w:hAnsi="Arial" w:cs="Arial"/>
          <w:sz w:val="24"/>
          <w:szCs w:val="24"/>
        </w:rPr>
        <w:t xml:space="preserve">, Alejandro: </w:t>
      </w:r>
      <w:r>
        <w:rPr>
          <w:rFonts w:ascii="Arial" w:eastAsia="Arial" w:hAnsi="Arial" w:cs="Arial"/>
          <w:i/>
          <w:sz w:val="24"/>
          <w:szCs w:val="24"/>
          <w:u w:val="single"/>
        </w:rPr>
        <w:t>Historia de la Argentina 1916-1955, Capitulo 3</w:t>
      </w:r>
      <w:r>
        <w:rPr>
          <w:rFonts w:ascii="Arial" w:eastAsia="Arial" w:hAnsi="Arial" w:cs="Arial"/>
          <w:sz w:val="24"/>
          <w:szCs w:val="24"/>
        </w:rPr>
        <w:t xml:space="preserve">. Editorial Siglo XXI. Buenos Aires, 2009. </w:t>
      </w:r>
    </w:p>
    <w:p w14:paraId="00000023" w14:textId="77777777" w:rsidR="003C3F1C" w:rsidRDefault="003C3F1C">
      <w:pPr>
        <w:spacing w:before="120" w:after="0" w:line="360" w:lineRule="auto"/>
        <w:jc w:val="both"/>
        <w:rPr>
          <w:rFonts w:ascii="Arial" w:eastAsia="Arial" w:hAnsi="Arial" w:cs="Arial"/>
          <w:sz w:val="24"/>
          <w:szCs w:val="24"/>
        </w:rPr>
      </w:pPr>
    </w:p>
    <w:p w14:paraId="00000024"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b/>
          <w:sz w:val="24"/>
          <w:szCs w:val="24"/>
        </w:rPr>
        <w:t xml:space="preserve">Unidad 2: La crisis del modelo reformista.  </w:t>
      </w:r>
      <w:r>
        <w:rPr>
          <w:rFonts w:ascii="Arial" w:eastAsia="Arial" w:hAnsi="Arial" w:cs="Arial"/>
          <w:sz w:val="24"/>
          <w:szCs w:val="24"/>
        </w:rPr>
        <w:t xml:space="preserve">De la Universidad de elite a la Universidad de masas. Las Universidades como actores políticos y las </w:t>
      </w:r>
      <w:r>
        <w:rPr>
          <w:rFonts w:ascii="Arial" w:eastAsia="Arial" w:hAnsi="Arial" w:cs="Arial"/>
          <w:sz w:val="24"/>
          <w:szCs w:val="24"/>
        </w:rPr>
        <w:lastRenderedPageBreak/>
        <w:t>modificaciones del régimen político en la segunda mitad del siglo XX argentino. La Universidad Pública y sus relaciones con la producción y el trabajo.</w:t>
      </w:r>
    </w:p>
    <w:p w14:paraId="00000025" w14:textId="77777777" w:rsidR="003C3F1C" w:rsidRDefault="003C3F1C">
      <w:pPr>
        <w:spacing w:before="120" w:after="0" w:line="360" w:lineRule="auto"/>
        <w:jc w:val="both"/>
        <w:rPr>
          <w:rFonts w:ascii="Arial" w:eastAsia="Arial" w:hAnsi="Arial" w:cs="Arial"/>
          <w:b/>
          <w:sz w:val="24"/>
          <w:szCs w:val="24"/>
          <w:u w:val="single"/>
        </w:rPr>
      </w:pPr>
    </w:p>
    <w:p w14:paraId="00000026" w14:textId="77777777" w:rsidR="003C3F1C" w:rsidRDefault="00B35CD0">
      <w:pPr>
        <w:spacing w:before="120" w:after="0" w:line="360" w:lineRule="auto"/>
        <w:jc w:val="both"/>
        <w:rPr>
          <w:rFonts w:ascii="Arial" w:eastAsia="Arial" w:hAnsi="Arial" w:cs="Arial"/>
          <w:b/>
          <w:sz w:val="24"/>
          <w:szCs w:val="24"/>
          <w:u w:val="single"/>
        </w:rPr>
      </w:pPr>
      <w:r>
        <w:rPr>
          <w:rFonts w:ascii="Arial" w:eastAsia="Arial" w:hAnsi="Arial" w:cs="Arial"/>
          <w:b/>
          <w:sz w:val="24"/>
          <w:szCs w:val="24"/>
          <w:u w:val="single"/>
        </w:rPr>
        <w:t xml:space="preserve">Bibliografía Obligatoria: </w:t>
      </w:r>
    </w:p>
    <w:p w14:paraId="00000027"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 xml:space="preserve">Altamirano, Carlos: </w:t>
      </w:r>
      <w:r>
        <w:rPr>
          <w:rFonts w:ascii="Arial" w:eastAsia="Arial" w:hAnsi="Arial" w:cs="Arial"/>
          <w:i/>
          <w:sz w:val="24"/>
          <w:szCs w:val="24"/>
          <w:u w:val="single"/>
        </w:rPr>
        <w:t>Intelectuales y debate cívico en el siglo XX. El fin de la Belle époque en Pablo Yankelevich (coordinador) Historia mínima de Argentina. Una breve síntesis de los hechos, personajes y los episodios que han definido la Argentina desde la prehistoria hasta hoy</w:t>
      </w:r>
      <w:r>
        <w:rPr>
          <w:rFonts w:ascii="Arial" w:eastAsia="Arial" w:hAnsi="Arial" w:cs="Arial"/>
          <w:sz w:val="24"/>
          <w:szCs w:val="24"/>
        </w:rPr>
        <w:t xml:space="preserve">. Colegio de México. </w:t>
      </w:r>
      <w:proofErr w:type="spellStart"/>
      <w:r>
        <w:rPr>
          <w:rFonts w:ascii="Arial" w:eastAsia="Arial" w:hAnsi="Arial" w:cs="Arial"/>
          <w:sz w:val="24"/>
          <w:szCs w:val="24"/>
        </w:rPr>
        <w:t>Mexico</w:t>
      </w:r>
      <w:proofErr w:type="spellEnd"/>
      <w:r>
        <w:rPr>
          <w:rFonts w:ascii="Arial" w:eastAsia="Arial" w:hAnsi="Arial" w:cs="Arial"/>
          <w:sz w:val="24"/>
          <w:szCs w:val="24"/>
        </w:rPr>
        <w:t xml:space="preserve">, DF, 2014. </w:t>
      </w:r>
    </w:p>
    <w:p w14:paraId="00000028"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Buchbinder</w:t>
      </w:r>
      <w:proofErr w:type="spellEnd"/>
      <w:r>
        <w:rPr>
          <w:rFonts w:ascii="Arial" w:eastAsia="Arial" w:hAnsi="Arial" w:cs="Arial"/>
          <w:sz w:val="24"/>
          <w:szCs w:val="24"/>
        </w:rPr>
        <w:t>, Pablo</w:t>
      </w:r>
      <w:r>
        <w:rPr>
          <w:rFonts w:ascii="Arial" w:eastAsia="Arial" w:hAnsi="Arial" w:cs="Arial"/>
          <w:sz w:val="24"/>
          <w:szCs w:val="24"/>
          <w:u w:val="single"/>
        </w:rPr>
        <w:t xml:space="preserve">: </w:t>
      </w:r>
      <w:r>
        <w:rPr>
          <w:rFonts w:ascii="Arial" w:eastAsia="Arial" w:hAnsi="Arial" w:cs="Arial"/>
          <w:i/>
          <w:sz w:val="24"/>
          <w:szCs w:val="24"/>
          <w:u w:val="single"/>
        </w:rPr>
        <w:t>Historia de las Universidades, Capítulos 8 y 9</w:t>
      </w:r>
      <w:r>
        <w:rPr>
          <w:rFonts w:ascii="Arial" w:eastAsia="Arial" w:hAnsi="Arial" w:cs="Arial"/>
          <w:sz w:val="24"/>
          <w:szCs w:val="24"/>
        </w:rPr>
        <w:t xml:space="preserve">.  Editorial Sudamericana. Segunda Edición. Buenos Aires, 2010. </w:t>
      </w:r>
    </w:p>
    <w:p w14:paraId="00000029"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Sarlo</w:t>
      </w:r>
      <w:proofErr w:type="spellEnd"/>
      <w:r>
        <w:rPr>
          <w:rFonts w:ascii="Arial" w:eastAsia="Arial" w:hAnsi="Arial" w:cs="Arial"/>
          <w:sz w:val="24"/>
          <w:szCs w:val="24"/>
        </w:rPr>
        <w:t xml:space="preserve"> Beatriz: </w:t>
      </w:r>
      <w:r>
        <w:rPr>
          <w:rFonts w:ascii="Arial" w:eastAsia="Arial" w:hAnsi="Arial" w:cs="Arial"/>
          <w:i/>
          <w:sz w:val="24"/>
          <w:szCs w:val="24"/>
          <w:u w:val="single"/>
        </w:rPr>
        <w:t>La Batalla de las Ideas (1943-1973), Capítulo 3</w:t>
      </w:r>
      <w:r>
        <w:rPr>
          <w:rFonts w:ascii="Arial" w:eastAsia="Arial" w:hAnsi="Arial" w:cs="Arial"/>
          <w:sz w:val="24"/>
          <w:szCs w:val="24"/>
        </w:rPr>
        <w:t xml:space="preserve">. Biblioteca del Pensamiento Argentino VII. Editorial Ariel. Buenos Aires, 2001.  </w:t>
      </w:r>
    </w:p>
    <w:p w14:paraId="0000002A" w14:textId="77777777" w:rsidR="003C3F1C" w:rsidRDefault="003C3F1C">
      <w:pPr>
        <w:spacing w:before="120" w:after="0" w:line="360" w:lineRule="auto"/>
        <w:jc w:val="both"/>
        <w:rPr>
          <w:rFonts w:ascii="Arial" w:eastAsia="Arial" w:hAnsi="Arial" w:cs="Arial"/>
          <w:sz w:val="24"/>
          <w:szCs w:val="24"/>
        </w:rPr>
      </w:pPr>
    </w:p>
    <w:p w14:paraId="0000002B"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b/>
          <w:sz w:val="24"/>
          <w:szCs w:val="24"/>
        </w:rPr>
        <w:t>Unidad 3: Las transformaciones de la Educación Superior en Democracia</w:t>
      </w:r>
      <w:r>
        <w:rPr>
          <w:rFonts w:ascii="Arial" w:eastAsia="Arial" w:hAnsi="Arial" w:cs="Arial"/>
          <w:sz w:val="24"/>
          <w:szCs w:val="24"/>
        </w:rPr>
        <w:t xml:space="preserve">: gratuidad y equidad. Evaluación y Calidad.  La expansión del sistema y las nuevas demandas sociales. Los ejes del debate actual en la Educación Superior. </w:t>
      </w:r>
    </w:p>
    <w:p w14:paraId="0000002C" w14:textId="77777777" w:rsidR="003C3F1C" w:rsidRDefault="00B35CD0">
      <w:pPr>
        <w:spacing w:before="120" w:after="0" w:line="360" w:lineRule="auto"/>
        <w:jc w:val="both"/>
        <w:rPr>
          <w:rFonts w:ascii="Arial" w:eastAsia="Arial" w:hAnsi="Arial" w:cs="Arial"/>
          <w:b/>
          <w:sz w:val="24"/>
          <w:szCs w:val="24"/>
          <w:u w:val="single"/>
        </w:rPr>
      </w:pPr>
      <w:r>
        <w:rPr>
          <w:rFonts w:ascii="Arial" w:eastAsia="Arial" w:hAnsi="Arial" w:cs="Arial"/>
          <w:b/>
          <w:sz w:val="24"/>
          <w:szCs w:val="24"/>
          <w:u w:val="single"/>
        </w:rPr>
        <w:t xml:space="preserve">Bibliografía Obligatoria: </w:t>
      </w:r>
    </w:p>
    <w:p w14:paraId="0000002D"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Chiroleau</w:t>
      </w:r>
      <w:proofErr w:type="spellEnd"/>
      <w:r>
        <w:rPr>
          <w:rFonts w:ascii="Arial" w:eastAsia="Arial" w:hAnsi="Arial" w:cs="Arial"/>
          <w:sz w:val="24"/>
          <w:szCs w:val="24"/>
        </w:rPr>
        <w:t xml:space="preserve">, Adriana, Suasnabar Claudio y </w:t>
      </w:r>
      <w:proofErr w:type="spellStart"/>
      <w:r>
        <w:rPr>
          <w:rFonts w:ascii="Arial" w:eastAsia="Arial" w:hAnsi="Arial" w:cs="Arial"/>
          <w:sz w:val="24"/>
          <w:szCs w:val="24"/>
        </w:rPr>
        <w:t>Rovelli</w:t>
      </w:r>
      <w:proofErr w:type="spellEnd"/>
      <w:r>
        <w:rPr>
          <w:rFonts w:ascii="Arial" w:eastAsia="Arial" w:hAnsi="Arial" w:cs="Arial"/>
          <w:sz w:val="24"/>
          <w:szCs w:val="24"/>
        </w:rPr>
        <w:t xml:space="preserve"> Laura</w:t>
      </w:r>
      <w:r>
        <w:rPr>
          <w:rFonts w:ascii="Arial" w:eastAsia="Arial" w:hAnsi="Arial" w:cs="Arial"/>
          <w:sz w:val="24"/>
          <w:szCs w:val="24"/>
          <w:u w:val="single"/>
        </w:rPr>
        <w:t xml:space="preserve">: </w:t>
      </w:r>
      <w:r>
        <w:rPr>
          <w:rFonts w:ascii="Arial" w:eastAsia="Arial" w:hAnsi="Arial" w:cs="Arial"/>
          <w:i/>
          <w:sz w:val="24"/>
          <w:szCs w:val="24"/>
          <w:u w:val="single"/>
        </w:rPr>
        <w:t>Política universitaria en la Argentina: revisando viejos legados en busca de nuevos horizontes, Capítulos 2 y 3</w:t>
      </w:r>
      <w:r>
        <w:rPr>
          <w:rFonts w:ascii="Arial" w:eastAsia="Arial" w:hAnsi="Arial" w:cs="Arial"/>
          <w:i/>
          <w:sz w:val="24"/>
          <w:szCs w:val="24"/>
        </w:rPr>
        <w:t>.</w:t>
      </w:r>
      <w:r>
        <w:rPr>
          <w:rFonts w:ascii="Arial" w:eastAsia="Arial" w:hAnsi="Arial" w:cs="Arial"/>
          <w:sz w:val="24"/>
          <w:szCs w:val="24"/>
        </w:rPr>
        <w:t xml:space="preserve"> Instituto de Estudio y Capacitación de la Federación Nacional de Docentes Universitarios. Editorial de la Universidad Nacional de General Sarmiento. Buenos Aires, 2012.  </w:t>
      </w:r>
    </w:p>
    <w:p w14:paraId="0000002E"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Rinesi</w:t>
      </w:r>
      <w:proofErr w:type="spellEnd"/>
      <w:r>
        <w:rPr>
          <w:rFonts w:ascii="Arial" w:eastAsia="Arial" w:hAnsi="Arial" w:cs="Arial"/>
          <w:sz w:val="24"/>
          <w:szCs w:val="24"/>
        </w:rPr>
        <w:t xml:space="preserve">, Eduardo: </w:t>
      </w:r>
      <w:r>
        <w:rPr>
          <w:rFonts w:ascii="Arial" w:eastAsia="Arial" w:hAnsi="Arial" w:cs="Arial"/>
          <w:i/>
          <w:sz w:val="24"/>
          <w:szCs w:val="24"/>
          <w:u w:val="single"/>
        </w:rPr>
        <w:t>Filosofía (y) política de la Universidad capítulos 3 y 5</w:t>
      </w:r>
      <w:r>
        <w:rPr>
          <w:rFonts w:ascii="Arial" w:eastAsia="Arial" w:hAnsi="Arial" w:cs="Arial"/>
          <w:sz w:val="24"/>
          <w:szCs w:val="24"/>
        </w:rPr>
        <w:t xml:space="preserve">. Instituto de Estudio y Capacitación de la Federación Nacional de Docentes Universitarios. Editorial de la Universidad Nacional de General Sarmiento. Buenos Aires, 2015.  </w:t>
      </w:r>
    </w:p>
    <w:p w14:paraId="0000002F"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Tedesco</w:t>
      </w:r>
      <w:proofErr w:type="spellEnd"/>
      <w:r>
        <w:rPr>
          <w:rFonts w:ascii="Arial" w:eastAsia="Arial" w:hAnsi="Arial" w:cs="Arial"/>
          <w:sz w:val="24"/>
          <w:szCs w:val="24"/>
        </w:rPr>
        <w:t>, Juan Carlos (compilador</w:t>
      </w:r>
      <w:r>
        <w:rPr>
          <w:rFonts w:ascii="Arial" w:eastAsia="Arial" w:hAnsi="Arial" w:cs="Arial"/>
          <w:i/>
          <w:sz w:val="24"/>
          <w:szCs w:val="24"/>
          <w:u w:val="single"/>
        </w:rPr>
        <w:t>): La educación argentina hoy, La urgencia del largo plazo, capítulo 10 y Conclusiones</w:t>
      </w:r>
      <w:r>
        <w:rPr>
          <w:rFonts w:ascii="Arial" w:eastAsia="Arial" w:hAnsi="Arial" w:cs="Arial"/>
          <w:sz w:val="24"/>
          <w:szCs w:val="24"/>
        </w:rPr>
        <w:t xml:space="preserve">. Editorial Siglo XXI. Fundación OSDE. Buenos Aires. 2015. </w:t>
      </w:r>
    </w:p>
    <w:p w14:paraId="00000030" w14:textId="77777777" w:rsidR="003C3F1C" w:rsidRDefault="003C3F1C">
      <w:pPr>
        <w:spacing w:before="120" w:after="0" w:line="360" w:lineRule="auto"/>
        <w:jc w:val="both"/>
        <w:rPr>
          <w:rFonts w:ascii="Arial" w:eastAsia="Arial" w:hAnsi="Arial" w:cs="Arial"/>
          <w:b/>
          <w:sz w:val="24"/>
          <w:szCs w:val="24"/>
          <w:u w:val="single"/>
        </w:rPr>
      </w:pPr>
    </w:p>
    <w:p w14:paraId="00000031" w14:textId="77777777" w:rsidR="003C3F1C" w:rsidRDefault="00B35CD0">
      <w:pPr>
        <w:spacing w:before="120" w:after="0" w:line="360" w:lineRule="auto"/>
        <w:jc w:val="both"/>
        <w:rPr>
          <w:rFonts w:ascii="Arial" w:eastAsia="Arial" w:hAnsi="Arial" w:cs="Arial"/>
          <w:b/>
          <w:sz w:val="24"/>
          <w:szCs w:val="24"/>
          <w:u w:val="single"/>
        </w:rPr>
      </w:pPr>
      <w:proofErr w:type="spellStart"/>
      <w:r>
        <w:rPr>
          <w:rFonts w:ascii="Arial" w:eastAsia="Arial" w:hAnsi="Arial" w:cs="Arial"/>
          <w:b/>
          <w:sz w:val="24"/>
          <w:szCs w:val="24"/>
          <w:u w:val="single"/>
        </w:rPr>
        <w:t>Bibliografia</w:t>
      </w:r>
      <w:proofErr w:type="spellEnd"/>
      <w:r>
        <w:rPr>
          <w:rFonts w:ascii="Arial" w:eastAsia="Arial" w:hAnsi="Arial" w:cs="Arial"/>
          <w:b/>
          <w:sz w:val="24"/>
          <w:szCs w:val="24"/>
          <w:u w:val="single"/>
        </w:rPr>
        <w:t xml:space="preserve"> General referida a los contenidos de las Unidades didácticas del Taller: </w:t>
      </w:r>
    </w:p>
    <w:p w14:paraId="00000032"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lastRenderedPageBreak/>
        <w:t>Alderete Ana María (coordinadora):</w:t>
      </w:r>
      <w:r>
        <w:rPr>
          <w:rFonts w:ascii="Arial" w:eastAsia="Arial" w:hAnsi="Arial" w:cs="Arial"/>
          <w:b/>
          <w:sz w:val="24"/>
          <w:szCs w:val="24"/>
          <w:u w:val="single"/>
        </w:rPr>
        <w:t xml:space="preserve"> </w:t>
      </w:r>
      <w:r>
        <w:rPr>
          <w:rFonts w:ascii="Arial" w:eastAsia="Arial" w:hAnsi="Arial" w:cs="Arial"/>
          <w:sz w:val="24"/>
          <w:szCs w:val="24"/>
          <w:u w:val="single"/>
        </w:rPr>
        <w:t>El Manifiesto Liminar. Legados y debates contemporáneos. Colección 400 años/Los Libros</w:t>
      </w:r>
      <w:r>
        <w:rPr>
          <w:rFonts w:ascii="Arial" w:eastAsia="Arial" w:hAnsi="Arial" w:cs="Arial"/>
          <w:sz w:val="24"/>
          <w:szCs w:val="24"/>
        </w:rPr>
        <w:t xml:space="preserve">. Universidad Nacional de Córdoba. Córdoba, 2012. </w:t>
      </w:r>
    </w:p>
    <w:p w14:paraId="00000033"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Califa, Juan Sebastián: Reforma y Revolución</w:t>
      </w:r>
      <w:r>
        <w:rPr>
          <w:rFonts w:ascii="Arial" w:eastAsia="Arial" w:hAnsi="Arial" w:cs="Arial"/>
          <w:i/>
          <w:sz w:val="24"/>
          <w:szCs w:val="24"/>
          <w:u w:val="single"/>
        </w:rPr>
        <w:t>. La radicalización política del movimiento estudiantil de la UBA 1943-1966.</w:t>
      </w:r>
      <w:r>
        <w:rPr>
          <w:rFonts w:ascii="Arial" w:eastAsia="Arial" w:hAnsi="Arial" w:cs="Arial"/>
          <w:sz w:val="24"/>
          <w:szCs w:val="24"/>
        </w:rPr>
        <w:t xml:space="preserve"> Editorial de la Universidad de Buenos Aires. EUDEBA. Buenos Aires, 2014. </w:t>
      </w:r>
    </w:p>
    <w:p w14:paraId="00000034"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 xml:space="preserve">Marquina, Mónica, Mazzola Carlos, Soprano German (compiladores): </w:t>
      </w:r>
      <w:r>
        <w:rPr>
          <w:rFonts w:ascii="Arial" w:eastAsia="Arial" w:hAnsi="Arial" w:cs="Arial"/>
          <w:i/>
          <w:sz w:val="24"/>
          <w:szCs w:val="24"/>
          <w:u w:val="single"/>
        </w:rPr>
        <w:t>Políticas, Instituciones y protagonistas de la Universidad Argentina</w:t>
      </w:r>
      <w:r>
        <w:rPr>
          <w:rFonts w:ascii="Arial" w:eastAsia="Arial" w:hAnsi="Arial" w:cs="Arial"/>
          <w:sz w:val="24"/>
          <w:szCs w:val="24"/>
        </w:rPr>
        <w:t xml:space="preserve">. Colección Sujetos/Política/Educación. Universidad Nacional de General Sarmiento. Universidad Nacional de San Luis. Prometeo Libros. Buenos Aires, 2009. </w:t>
      </w:r>
    </w:p>
    <w:p w14:paraId="00000035"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Marquina Mónica (compiladora</w:t>
      </w:r>
      <w:r>
        <w:rPr>
          <w:rFonts w:ascii="Arial" w:eastAsia="Arial" w:hAnsi="Arial" w:cs="Arial"/>
          <w:i/>
          <w:sz w:val="24"/>
          <w:szCs w:val="24"/>
        </w:rPr>
        <w:t xml:space="preserve">) </w:t>
      </w:r>
      <w:r>
        <w:rPr>
          <w:rFonts w:ascii="Arial" w:eastAsia="Arial" w:hAnsi="Arial" w:cs="Arial"/>
          <w:i/>
          <w:sz w:val="24"/>
          <w:szCs w:val="24"/>
          <w:u w:val="single"/>
        </w:rPr>
        <w:t xml:space="preserve">Roberto </w:t>
      </w:r>
      <w:proofErr w:type="spellStart"/>
      <w:r>
        <w:rPr>
          <w:rFonts w:ascii="Arial" w:eastAsia="Arial" w:hAnsi="Arial" w:cs="Arial"/>
          <w:i/>
          <w:sz w:val="24"/>
          <w:szCs w:val="24"/>
          <w:u w:val="single"/>
        </w:rPr>
        <w:t>Follari</w:t>
      </w:r>
      <w:proofErr w:type="spellEnd"/>
      <w:r>
        <w:rPr>
          <w:rFonts w:ascii="Arial" w:eastAsia="Arial" w:hAnsi="Arial" w:cs="Arial"/>
          <w:i/>
          <w:sz w:val="24"/>
          <w:szCs w:val="24"/>
          <w:u w:val="single"/>
        </w:rPr>
        <w:t xml:space="preserve">, Adolfo </w:t>
      </w:r>
      <w:proofErr w:type="spellStart"/>
      <w:r>
        <w:rPr>
          <w:rFonts w:ascii="Arial" w:eastAsia="Arial" w:hAnsi="Arial" w:cs="Arial"/>
          <w:i/>
          <w:sz w:val="24"/>
          <w:szCs w:val="24"/>
          <w:u w:val="single"/>
        </w:rPr>
        <w:t>Stubrin</w:t>
      </w:r>
      <w:proofErr w:type="spellEnd"/>
      <w:r>
        <w:rPr>
          <w:rFonts w:ascii="Arial" w:eastAsia="Arial" w:hAnsi="Arial" w:cs="Arial"/>
          <w:i/>
          <w:sz w:val="24"/>
          <w:szCs w:val="24"/>
          <w:u w:val="single"/>
        </w:rPr>
        <w:t xml:space="preserve"> y Antonio </w:t>
      </w:r>
      <w:proofErr w:type="spellStart"/>
      <w:r>
        <w:rPr>
          <w:rFonts w:ascii="Arial" w:eastAsia="Arial" w:hAnsi="Arial" w:cs="Arial"/>
          <w:i/>
          <w:sz w:val="24"/>
          <w:szCs w:val="24"/>
          <w:u w:val="single"/>
        </w:rPr>
        <w:t>Camou</w:t>
      </w:r>
      <w:proofErr w:type="spellEnd"/>
      <w:r>
        <w:rPr>
          <w:rFonts w:ascii="Arial" w:eastAsia="Arial" w:hAnsi="Arial" w:cs="Arial"/>
          <w:i/>
          <w:sz w:val="24"/>
          <w:szCs w:val="24"/>
          <w:u w:val="single"/>
        </w:rPr>
        <w:t>.  La Universidad entre la autonomía y la planificación. Tres ensayos en dialogo</w:t>
      </w:r>
      <w:r>
        <w:rPr>
          <w:rFonts w:ascii="Arial" w:eastAsia="Arial" w:hAnsi="Arial" w:cs="Arial"/>
          <w:sz w:val="24"/>
          <w:szCs w:val="24"/>
          <w:u w:val="single"/>
        </w:rPr>
        <w:t>.</w:t>
      </w:r>
      <w:r>
        <w:rPr>
          <w:rFonts w:ascii="Arial" w:eastAsia="Arial" w:hAnsi="Arial" w:cs="Arial"/>
          <w:sz w:val="24"/>
          <w:szCs w:val="24"/>
        </w:rPr>
        <w:t xml:space="preserve"> Instituto de Estudio y Capacitación de la Federación Nacional de Docentes Universitarios. Editorial de la Universidad Nacional de General Sarmiento. Buenos Aires, 2014.  </w:t>
      </w:r>
    </w:p>
    <w:p w14:paraId="00000036"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 xml:space="preserve">Rama Claudio: </w:t>
      </w:r>
      <w:r>
        <w:rPr>
          <w:rFonts w:ascii="Arial" w:eastAsia="Arial" w:hAnsi="Arial" w:cs="Arial"/>
          <w:i/>
          <w:sz w:val="24"/>
          <w:szCs w:val="24"/>
          <w:u w:val="single"/>
        </w:rPr>
        <w:t>La tercera Reforma de la educación superior en América Latina</w:t>
      </w:r>
      <w:r>
        <w:rPr>
          <w:rFonts w:ascii="Arial" w:eastAsia="Arial" w:hAnsi="Arial" w:cs="Arial"/>
          <w:sz w:val="24"/>
          <w:szCs w:val="24"/>
        </w:rPr>
        <w:t xml:space="preserve">. Fondo de Cultura Económica. Buenos Aires, 2006.  </w:t>
      </w:r>
    </w:p>
    <w:p w14:paraId="00000037"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Sigal</w:t>
      </w:r>
      <w:proofErr w:type="spellEnd"/>
      <w:r>
        <w:rPr>
          <w:rFonts w:ascii="Arial" w:eastAsia="Arial" w:hAnsi="Arial" w:cs="Arial"/>
          <w:sz w:val="24"/>
          <w:szCs w:val="24"/>
        </w:rPr>
        <w:t xml:space="preserve"> Silvia: </w:t>
      </w:r>
      <w:r>
        <w:rPr>
          <w:rFonts w:ascii="Arial" w:eastAsia="Arial" w:hAnsi="Arial" w:cs="Arial"/>
          <w:i/>
          <w:sz w:val="24"/>
          <w:szCs w:val="24"/>
          <w:u w:val="single"/>
        </w:rPr>
        <w:t>Intelectuales y poder en la Argentina.  La década del sesenta</w:t>
      </w:r>
      <w:r>
        <w:rPr>
          <w:rFonts w:ascii="Arial" w:eastAsia="Arial" w:hAnsi="Arial" w:cs="Arial"/>
          <w:sz w:val="24"/>
          <w:szCs w:val="24"/>
        </w:rPr>
        <w:t xml:space="preserve">. Siglo XXI Editores. Buenos Aires, 2002. </w:t>
      </w:r>
    </w:p>
    <w:p w14:paraId="00000038" w14:textId="77777777" w:rsidR="003C3F1C" w:rsidRDefault="003C3F1C">
      <w:pPr>
        <w:spacing w:before="120" w:after="0" w:line="360" w:lineRule="auto"/>
        <w:jc w:val="both"/>
        <w:rPr>
          <w:rFonts w:ascii="Arial" w:eastAsia="Arial" w:hAnsi="Arial" w:cs="Arial"/>
          <w:sz w:val="24"/>
          <w:szCs w:val="24"/>
        </w:rPr>
      </w:pPr>
    </w:p>
    <w:p w14:paraId="00000039"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b/>
          <w:sz w:val="24"/>
          <w:szCs w:val="24"/>
          <w:u w:val="single"/>
        </w:rPr>
        <w:t xml:space="preserve">Bibliografía General referida </w:t>
      </w:r>
      <w:proofErr w:type="gramStart"/>
      <w:r>
        <w:rPr>
          <w:rFonts w:ascii="Arial" w:eastAsia="Arial" w:hAnsi="Arial" w:cs="Arial"/>
          <w:b/>
          <w:sz w:val="24"/>
          <w:szCs w:val="24"/>
          <w:u w:val="single"/>
        </w:rPr>
        <w:t>a  la</w:t>
      </w:r>
      <w:proofErr w:type="gramEnd"/>
      <w:r>
        <w:rPr>
          <w:rFonts w:ascii="Arial" w:eastAsia="Arial" w:hAnsi="Arial" w:cs="Arial"/>
          <w:b/>
          <w:sz w:val="24"/>
          <w:szCs w:val="24"/>
          <w:u w:val="single"/>
        </w:rPr>
        <w:t xml:space="preserve">  Metodología  del trabajo en Taller</w:t>
      </w:r>
      <w:r>
        <w:rPr>
          <w:rFonts w:ascii="Arial" w:eastAsia="Arial" w:hAnsi="Arial" w:cs="Arial"/>
          <w:sz w:val="24"/>
          <w:szCs w:val="24"/>
        </w:rPr>
        <w:t xml:space="preserve"> : </w:t>
      </w:r>
    </w:p>
    <w:p w14:paraId="0000003A" w14:textId="77777777" w:rsidR="003C3F1C" w:rsidRDefault="00B35CD0">
      <w:pPr>
        <w:spacing w:before="120" w:after="0" w:line="360" w:lineRule="auto"/>
        <w:jc w:val="both"/>
        <w:rPr>
          <w:rFonts w:ascii="Arial" w:eastAsia="Arial" w:hAnsi="Arial" w:cs="Arial"/>
          <w:sz w:val="24"/>
          <w:szCs w:val="24"/>
        </w:rPr>
      </w:pPr>
      <w:proofErr w:type="spellStart"/>
      <w:r>
        <w:rPr>
          <w:rFonts w:ascii="Arial" w:eastAsia="Arial" w:hAnsi="Arial" w:cs="Arial"/>
          <w:sz w:val="24"/>
          <w:szCs w:val="24"/>
        </w:rPr>
        <w:t>Adelstein</w:t>
      </w:r>
      <w:proofErr w:type="spellEnd"/>
      <w:r>
        <w:rPr>
          <w:rFonts w:ascii="Arial" w:eastAsia="Arial" w:hAnsi="Arial" w:cs="Arial"/>
          <w:sz w:val="24"/>
          <w:szCs w:val="24"/>
        </w:rPr>
        <w:t xml:space="preserve"> </w:t>
      </w:r>
      <w:proofErr w:type="spellStart"/>
      <w:r>
        <w:rPr>
          <w:rFonts w:ascii="Arial" w:eastAsia="Arial" w:hAnsi="Arial" w:cs="Arial"/>
          <w:sz w:val="24"/>
          <w:szCs w:val="24"/>
        </w:rPr>
        <w:t>Andreína</w:t>
      </w:r>
      <w:proofErr w:type="spellEnd"/>
      <w:r>
        <w:rPr>
          <w:rFonts w:ascii="Arial" w:eastAsia="Arial" w:hAnsi="Arial" w:cs="Arial"/>
          <w:sz w:val="24"/>
          <w:szCs w:val="24"/>
        </w:rPr>
        <w:t xml:space="preserve">, </w:t>
      </w:r>
      <w:proofErr w:type="spellStart"/>
      <w:r>
        <w:rPr>
          <w:rFonts w:ascii="Arial" w:eastAsia="Arial" w:hAnsi="Arial" w:cs="Arial"/>
          <w:sz w:val="24"/>
          <w:szCs w:val="24"/>
        </w:rPr>
        <w:t>Kuguel</w:t>
      </w:r>
      <w:proofErr w:type="spellEnd"/>
      <w:r>
        <w:rPr>
          <w:rFonts w:ascii="Arial" w:eastAsia="Arial" w:hAnsi="Arial" w:cs="Arial"/>
          <w:sz w:val="24"/>
          <w:szCs w:val="24"/>
        </w:rPr>
        <w:t xml:space="preserve">: </w:t>
      </w:r>
      <w:r>
        <w:rPr>
          <w:rFonts w:ascii="Arial" w:eastAsia="Arial" w:hAnsi="Arial" w:cs="Arial"/>
          <w:i/>
          <w:sz w:val="24"/>
          <w:szCs w:val="24"/>
          <w:u w:val="single"/>
        </w:rPr>
        <w:t>Los textos en el nivel universitario</w:t>
      </w:r>
      <w:r>
        <w:rPr>
          <w:rFonts w:ascii="Arial" w:eastAsia="Arial" w:hAnsi="Arial" w:cs="Arial"/>
          <w:sz w:val="24"/>
          <w:szCs w:val="24"/>
        </w:rPr>
        <w:t xml:space="preserve">. Textos Básicos. Universidad Nacional de General Sarmiento. Buenos Aires, 2004 </w:t>
      </w:r>
    </w:p>
    <w:p w14:paraId="0000003B"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 xml:space="preserve">Casanova, Martínez López: (coordinadora) </w:t>
      </w:r>
      <w:r>
        <w:rPr>
          <w:rFonts w:ascii="Arial" w:eastAsia="Arial" w:hAnsi="Arial" w:cs="Arial"/>
          <w:i/>
          <w:sz w:val="24"/>
          <w:szCs w:val="24"/>
          <w:u w:val="single"/>
        </w:rPr>
        <w:t>Una propuesta integral para los talleres lectura y escritura</w:t>
      </w:r>
      <w:r>
        <w:rPr>
          <w:rFonts w:ascii="Arial" w:eastAsia="Arial" w:hAnsi="Arial" w:cs="Arial"/>
          <w:sz w:val="24"/>
          <w:szCs w:val="24"/>
        </w:rPr>
        <w:t xml:space="preserve">. Textos Básicos. Universidad Nacional de General Sarmiento. Buenos Aires, 2009. </w:t>
      </w:r>
    </w:p>
    <w:p w14:paraId="0000003C"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 xml:space="preserve">Mateo, Silvia, </w:t>
      </w:r>
      <w:proofErr w:type="spellStart"/>
      <w:r>
        <w:rPr>
          <w:rFonts w:ascii="Arial" w:eastAsia="Arial" w:hAnsi="Arial" w:cs="Arial"/>
          <w:sz w:val="24"/>
          <w:szCs w:val="24"/>
        </w:rPr>
        <w:t>Vitale</w:t>
      </w:r>
      <w:proofErr w:type="spellEnd"/>
      <w:r>
        <w:rPr>
          <w:rFonts w:ascii="Arial" w:eastAsia="Arial" w:hAnsi="Arial" w:cs="Arial"/>
          <w:sz w:val="24"/>
          <w:szCs w:val="24"/>
        </w:rPr>
        <w:t>, Alejandra (coordinadoras</w:t>
      </w:r>
      <w:r>
        <w:rPr>
          <w:rFonts w:ascii="Arial" w:eastAsia="Arial" w:hAnsi="Arial" w:cs="Arial"/>
          <w:i/>
          <w:sz w:val="24"/>
          <w:szCs w:val="24"/>
          <w:u w:val="single"/>
        </w:rPr>
        <w:t>): Lectura crítica y escritura eficaz en la Universidad</w:t>
      </w:r>
      <w:r>
        <w:rPr>
          <w:rFonts w:ascii="Arial" w:eastAsia="Arial" w:hAnsi="Arial" w:cs="Arial"/>
          <w:sz w:val="24"/>
          <w:szCs w:val="24"/>
        </w:rPr>
        <w:t xml:space="preserve">. Editorial de la Universidad de Buenos Aires (EUDEBA). Buenos Aires, 2014. </w:t>
      </w:r>
    </w:p>
    <w:p w14:paraId="0000003D"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 xml:space="preserve">Nogueira, Sylvia (coordinadora): </w:t>
      </w:r>
      <w:r>
        <w:rPr>
          <w:rFonts w:ascii="Arial" w:eastAsia="Arial" w:hAnsi="Arial" w:cs="Arial"/>
          <w:i/>
          <w:sz w:val="24"/>
          <w:szCs w:val="24"/>
          <w:u w:val="single"/>
        </w:rPr>
        <w:t>Manual de Lectura y escritura Universitaria.  Prácticas de Taller.</w:t>
      </w:r>
      <w:r>
        <w:rPr>
          <w:rFonts w:ascii="Arial" w:eastAsia="Arial" w:hAnsi="Arial" w:cs="Arial"/>
          <w:sz w:val="24"/>
          <w:szCs w:val="24"/>
        </w:rPr>
        <w:t xml:space="preserve"> Editorial Biblos. Buenos Aires, 2003. </w:t>
      </w:r>
    </w:p>
    <w:p w14:paraId="0000003E"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lastRenderedPageBreak/>
        <w:t xml:space="preserve">Real Academia Española, Asociación de Academias de la Lengua Española: </w:t>
      </w:r>
      <w:r>
        <w:rPr>
          <w:rFonts w:ascii="Arial" w:eastAsia="Arial" w:hAnsi="Arial" w:cs="Arial"/>
          <w:i/>
          <w:sz w:val="24"/>
          <w:szCs w:val="24"/>
          <w:u w:val="single"/>
        </w:rPr>
        <w:t>Ortografía de la Lengua española</w:t>
      </w:r>
      <w:r>
        <w:rPr>
          <w:rFonts w:ascii="Arial" w:eastAsia="Arial" w:hAnsi="Arial" w:cs="Arial"/>
          <w:sz w:val="24"/>
          <w:szCs w:val="24"/>
        </w:rPr>
        <w:t xml:space="preserve">. Madrid, 2010. </w:t>
      </w:r>
    </w:p>
    <w:p w14:paraId="0000003F"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Real Academia Española, Asociación de Academias de la Lengua Española:</w:t>
      </w:r>
      <w:r>
        <w:rPr>
          <w:rFonts w:ascii="Arial" w:eastAsia="Arial" w:hAnsi="Arial" w:cs="Arial"/>
          <w:i/>
          <w:sz w:val="24"/>
          <w:szCs w:val="24"/>
          <w:u w:val="single"/>
        </w:rPr>
        <w:t xml:space="preserve"> Nueva gramática de la lengua española. Manual.</w:t>
      </w:r>
      <w:r>
        <w:rPr>
          <w:rFonts w:ascii="Arial" w:eastAsia="Arial" w:hAnsi="Arial" w:cs="Arial"/>
          <w:sz w:val="24"/>
          <w:szCs w:val="24"/>
        </w:rPr>
        <w:t xml:space="preserve"> Madrid, 2010. </w:t>
      </w:r>
    </w:p>
    <w:p w14:paraId="00000040" w14:textId="77777777" w:rsidR="003C3F1C" w:rsidRDefault="003C3F1C">
      <w:pPr>
        <w:spacing w:before="120" w:after="0" w:line="360" w:lineRule="auto"/>
        <w:jc w:val="both"/>
        <w:rPr>
          <w:rFonts w:ascii="Arial" w:eastAsia="Arial" w:hAnsi="Arial" w:cs="Arial"/>
          <w:sz w:val="24"/>
          <w:szCs w:val="24"/>
        </w:rPr>
      </w:pPr>
    </w:p>
    <w:p w14:paraId="00000041"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La bibliografía que no se encuentra en la Biblioteca de la UNQ es suministrada por los docentes, ya sea porque se dispone de las versiones electrónicas y/o se dispone del ejemplar en el grupo de investigación asociado.</w:t>
      </w:r>
    </w:p>
    <w:p w14:paraId="00000042" w14:textId="77777777" w:rsidR="003C3F1C" w:rsidRDefault="003C3F1C">
      <w:pPr>
        <w:spacing w:before="120" w:after="0" w:line="360" w:lineRule="auto"/>
        <w:jc w:val="both"/>
        <w:rPr>
          <w:rFonts w:ascii="Arial" w:eastAsia="Arial" w:hAnsi="Arial" w:cs="Arial"/>
          <w:sz w:val="24"/>
          <w:szCs w:val="24"/>
        </w:rPr>
      </w:pPr>
    </w:p>
    <w:p w14:paraId="00000043" w14:textId="77777777" w:rsidR="003C3F1C" w:rsidRDefault="00B35CD0">
      <w:pPr>
        <w:spacing w:after="0" w:line="360" w:lineRule="auto"/>
        <w:jc w:val="both"/>
        <w:rPr>
          <w:rFonts w:ascii="Arial" w:eastAsia="Arial" w:hAnsi="Arial" w:cs="Arial"/>
          <w:b/>
          <w:sz w:val="24"/>
          <w:szCs w:val="24"/>
        </w:rPr>
      </w:pPr>
      <w:r>
        <w:rPr>
          <w:rFonts w:ascii="Arial" w:eastAsia="Arial" w:hAnsi="Arial" w:cs="Arial"/>
          <w:b/>
          <w:sz w:val="24"/>
          <w:szCs w:val="24"/>
        </w:rPr>
        <w:t>Organización de las clases</w:t>
      </w:r>
    </w:p>
    <w:p w14:paraId="00000044"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 xml:space="preserve">Las unidades didácticas del Taller, y su desarrollo teórico metodológico, están organizados en núcleos temáticos concordantes con los propósitos de trabajo académico y son también el resultado de la reflexión crítica y la sistematización de la práctica académica en el campo de la docencia, la investigación y la gestión pública del docente a cargo. </w:t>
      </w:r>
    </w:p>
    <w:p w14:paraId="00000045"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Las actividades del Taller buscarán poner en tensión conceptos y prácticas educativas previas con construcciones teóricas que ayuden a resignificarlas. Ello implica una minuciosa lectura bibliográfica que confronte con las miradas previas o simultáneas del campo de estudio. Finalmente, en el entendimiento como lo plantea Araujo</w:t>
      </w:r>
      <w:r>
        <w:rPr>
          <w:rFonts w:ascii="Arial" w:eastAsia="Arial" w:hAnsi="Arial" w:cs="Arial"/>
          <w:sz w:val="24"/>
          <w:szCs w:val="24"/>
          <w:vertAlign w:val="superscript"/>
        </w:rPr>
        <w:footnoteReference w:id="2"/>
      </w:r>
      <w:r>
        <w:rPr>
          <w:rFonts w:ascii="Arial" w:eastAsia="Arial" w:hAnsi="Arial" w:cs="Arial"/>
          <w:sz w:val="24"/>
          <w:szCs w:val="24"/>
        </w:rPr>
        <w:t>, de que toda propuesta de enseñanza es una hipótesis, la implementación del Taller implicará la rectificación, adecuación o modificación en el marco de la evaluación de dificultades o aciertos que se produzcan durante su desarrollo.</w:t>
      </w:r>
    </w:p>
    <w:p w14:paraId="00000046" w14:textId="77777777" w:rsidR="003C3F1C" w:rsidRDefault="00B35CD0">
      <w:pPr>
        <w:spacing w:before="120" w:after="0" w:line="360" w:lineRule="auto"/>
        <w:jc w:val="both"/>
        <w:rPr>
          <w:rFonts w:ascii="Arial" w:eastAsia="Arial" w:hAnsi="Arial" w:cs="Arial"/>
          <w:sz w:val="24"/>
          <w:szCs w:val="24"/>
        </w:rPr>
      </w:pPr>
      <w:r>
        <w:rPr>
          <w:rFonts w:ascii="Arial" w:eastAsia="Arial" w:hAnsi="Arial" w:cs="Arial"/>
          <w:sz w:val="24"/>
          <w:szCs w:val="24"/>
        </w:rPr>
        <w:t xml:space="preserve">La práctica de Taller implica una lectura de los textos de Bibliografía Obligatoria para su discusión semanal y la simultánea elaboración de diferentes actividades a proponer sobre los mismos tales como Informes y guía de lectura o breves ensayos, que familiaricen a los/as estudiantes con saberes lingüísticos y textuales sobre la base de la escritura y situando al lenguaje académico en contexto y usos particularizados. </w:t>
      </w:r>
    </w:p>
    <w:p w14:paraId="00000047" w14:textId="77777777" w:rsidR="003C3F1C" w:rsidRDefault="003C3F1C">
      <w:pPr>
        <w:spacing w:before="120" w:after="0" w:line="360" w:lineRule="auto"/>
        <w:jc w:val="both"/>
        <w:rPr>
          <w:rFonts w:ascii="Arial" w:eastAsia="Arial" w:hAnsi="Arial" w:cs="Arial"/>
          <w:sz w:val="24"/>
          <w:szCs w:val="24"/>
        </w:rPr>
      </w:pPr>
    </w:p>
    <w:p w14:paraId="00000048" w14:textId="77777777" w:rsidR="003C3F1C" w:rsidRDefault="00B35CD0">
      <w:pPr>
        <w:spacing w:after="0" w:line="360" w:lineRule="auto"/>
        <w:jc w:val="both"/>
        <w:rPr>
          <w:rFonts w:ascii="Arial" w:eastAsia="Arial" w:hAnsi="Arial" w:cs="Arial"/>
          <w:b/>
          <w:sz w:val="24"/>
          <w:szCs w:val="24"/>
        </w:rPr>
      </w:pPr>
      <w:r>
        <w:rPr>
          <w:rFonts w:ascii="Arial" w:eastAsia="Arial" w:hAnsi="Arial" w:cs="Arial"/>
          <w:b/>
          <w:sz w:val="24"/>
          <w:szCs w:val="24"/>
        </w:rPr>
        <w:t>Modalidad de evaluación</w:t>
      </w:r>
    </w:p>
    <w:p w14:paraId="00000049" w14:textId="1E8B89E6" w:rsidR="003C3F1C" w:rsidRDefault="00B35CD0">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La modalidad de evaluación y aprobación será según el Régimen de estudios vigente (Res. CS 201/18). </w:t>
      </w:r>
    </w:p>
    <w:p w14:paraId="6A360469" w14:textId="35541167" w:rsidR="00C83B70" w:rsidRDefault="00C83B70">
      <w:pPr>
        <w:spacing w:after="0" w:line="360" w:lineRule="auto"/>
        <w:jc w:val="both"/>
        <w:rPr>
          <w:rFonts w:ascii="Arial" w:eastAsia="Arial" w:hAnsi="Arial" w:cs="Arial"/>
          <w:sz w:val="24"/>
          <w:szCs w:val="24"/>
        </w:rPr>
      </w:pPr>
    </w:p>
    <w:p w14:paraId="752C6D6A" w14:textId="6ED588A6" w:rsidR="00C83B70" w:rsidRPr="00C83B70" w:rsidRDefault="00C83B70">
      <w:pPr>
        <w:spacing w:after="0" w:line="360" w:lineRule="auto"/>
        <w:jc w:val="both"/>
        <w:rPr>
          <w:rFonts w:ascii="Arial" w:eastAsia="Arial" w:hAnsi="Arial" w:cs="Arial"/>
          <w:sz w:val="24"/>
          <w:szCs w:val="24"/>
          <w:u w:val="single"/>
        </w:rPr>
      </w:pPr>
      <w:r w:rsidRPr="00C83B70">
        <w:rPr>
          <w:rFonts w:ascii="Arial" w:eastAsia="Arial" w:hAnsi="Arial" w:cs="Arial"/>
          <w:sz w:val="24"/>
          <w:szCs w:val="24"/>
          <w:u w:val="single"/>
        </w:rPr>
        <w:t>Modalidad regular</w:t>
      </w:r>
    </w:p>
    <w:p w14:paraId="0000004A" w14:textId="77777777" w:rsidR="003C3F1C" w:rsidRDefault="00B35CD0">
      <w:pPr>
        <w:spacing w:before="120" w:line="360" w:lineRule="auto"/>
        <w:jc w:val="both"/>
        <w:rPr>
          <w:rFonts w:ascii="Arial" w:eastAsia="Arial" w:hAnsi="Arial" w:cs="Arial"/>
          <w:sz w:val="24"/>
          <w:szCs w:val="24"/>
        </w:rPr>
      </w:pPr>
      <w:r>
        <w:rPr>
          <w:rFonts w:ascii="Arial" w:eastAsia="Arial" w:hAnsi="Arial" w:cs="Arial"/>
          <w:b/>
          <w:color w:val="000000"/>
          <w:sz w:val="24"/>
          <w:szCs w:val="24"/>
        </w:rPr>
        <w:t xml:space="preserve">Aprobación de la asignatura según Régimen de Estudios vigente de la Universidad Nacional de Quilmes: </w:t>
      </w:r>
    </w:p>
    <w:p w14:paraId="0000004B" w14:textId="77777777" w:rsidR="003C3F1C" w:rsidRDefault="00B35CD0">
      <w:pPr>
        <w:spacing w:before="120" w:line="360" w:lineRule="auto"/>
        <w:jc w:val="both"/>
        <w:rPr>
          <w:rFonts w:ascii="Arial" w:eastAsia="Arial" w:hAnsi="Arial" w:cs="Arial"/>
          <w:sz w:val="24"/>
          <w:szCs w:val="24"/>
        </w:rPr>
      </w:pPr>
      <w:r>
        <w:rPr>
          <w:rFonts w:ascii="Arial" w:eastAsia="Arial" w:hAnsi="Arial" w:cs="Arial"/>
          <w:sz w:val="24"/>
          <w:szCs w:val="24"/>
        </w:rPr>
        <w:t>La aprobación de la materia bajo el régimen de regularidad requerirá: Una asistencia no inferior al 75 % en las clases presenciales previstas, y cumplir con al menos una de las siguientes posibilidades:</w:t>
      </w:r>
    </w:p>
    <w:p w14:paraId="0000004C" w14:textId="77777777" w:rsidR="003C3F1C" w:rsidRDefault="00B35CD0">
      <w:pPr>
        <w:numPr>
          <w:ilvl w:val="0"/>
          <w:numId w:val="3"/>
        </w:numPr>
        <w:pBdr>
          <w:top w:val="nil"/>
          <w:left w:val="nil"/>
          <w:bottom w:val="nil"/>
          <w:right w:val="nil"/>
          <w:between w:val="nil"/>
        </w:pBdr>
        <w:spacing w:before="120" w:after="0" w:line="360" w:lineRule="auto"/>
        <w:jc w:val="both"/>
        <w:rPr>
          <w:rFonts w:ascii="Arial" w:eastAsia="Arial" w:hAnsi="Arial" w:cs="Arial"/>
          <w:color w:val="000000"/>
          <w:sz w:val="24"/>
          <w:szCs w:val="24"/>
        </w:rPr>
      </w:pPr>
      <w:r>
        <w:rPr>
          <w:rFonts w:ascii="Arial" w:eastAsia="Arial" w:hAnsi="Arial" w:cs="Arial"/>
          <w:color w:val="000000"/>
          <w:sz w:val="24"/>
          <w:szCs w:val="24"/>
        </w:rPr>
        <w:t>la obtención de un promedio mínimo de 7 puntos en las instancias parciales de evaluación y de un mínimo de 6 puntos en cada una de ellas.</w:t>
      </w:r>
    </w:p>
    <w:p w14:paraId="0000004D" w14:textId="77777777" w:rsidR="003C3F1C" w:rsidRDefault="00B35CD0">
      <w:pPr>
        <w:numPr>
          <w:ilvl w:val="0"/>
          <w:numId w:val="3"/>
        </w:numPr>
        <w:pBdr>
          <w:top w:val="nil"/>
          <w:left w:val="nil"/>
          <w:bottom w:val="nil"/>
          <w:right w:val="nil"/>
          <w:between w:val="nil"/>
        </w:pBdr>
        <w:spacing w:before="120" w:after="0" w:line="360" w:lineRule="auto"/>
        <w:jc w:val="both"/>
        <w:rPr>
          <w:rFonts w:ascii="Arial" w:eastAsia="Arial" w:hAnsi="Arial" w:cs="Arial"/>
          <w:color w:val="000000"/>
          <w:sz w:val="24"/>
          <w:szCs w:val="24"/>
        </w:rPr>
      </w:pPr>
      <w:r>
        <w:rPr>
          <w:rFonts w:ascii="Arial" w:eastAsia="Arial" w:hAnsi="Arial" w:cs="Arial"/>
          <w:color w:val="000000"/>
          <w:sz w:val="24"/>
          <w:szCs w:val="24"/>
        </w:rPr>
        <w:t>la obtención de un mínimo de 4 puntos en cada instancia parcial de evaluación y en el examen integrador, el que será obligatorio en estos casos. Este examen se tomará dentro de los plazos del curso.</w:t>
      </w:r>
    </w:p>
    <w:p w14:paraId="0000004E" w14:textId="77777777" w:rsidR="003C3F1C" w:rsidRDefault="00B35CD0">
      <w:pPr>
        <w:spacing w:before="120" w:line="360" w:lineRule="auto"/>
        <w:jc w:val="both"/>
        <w:rPr>
          <w:rFonts w:ascii="Arial" w:eastAsia="Arial" w:hAnsi="Arial" w:cs="Arial"/>
          <w:sz w:val="24"/>
          <w:szCs w:val="24"/>
        </w:rPr>
      </w:pPr>
      <w:r>
        <w:rPr>
          <w:rFonts w:ascii="Arial" w:eastAsia="Arial" w:hAnsi="Arial" w:cs="Arial"/>
          <w:sz w:val="24"/>
          <w:szCs w:val="24"/>
        </w:rPr>
        <w:t>Los y las estudiantes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cuerpo docente administrará en los lapsos estipulados por la UNQ.</w:t>
      </w:r>
    </w:p>
    <w:p w14:paraId="0000004F" w14:textId="55AA7863" w:rsidR="003C3F1C" w:rsidRPr="00C83B70" w:rsidRDefault="00B35CD0" w:rsidP="00C83B70">
      <w:pPr>
        <w:spacing w:after="0" w:line="360" w:lineRule="auto"/>
        <w:jc w:val="both"/>
        <w:rPr>
          <w:rFonts w:ascii="Arial" w:eastAsia="Arial" w:hAnsi="Arial" w:cs="Arial"/>
          <w:bCs/>
          <w:sz w:val="24"/>
          <w:szCs w:val="24"/>
          <w:u w:val="single"/>
        </w:rPr>
      </w:pPr>
      <w:r w:rsidRPr="00C83B70">
        <w:rPr>
          <w:rFonts w:ascii="Arial" w:eastAsia="Arial" w:hAnsi="Arial" w:cs="Arial"/>
          <w:bCs/>
          <w:sz w:val="24"/>
          <w:szCs w:val="24"/>
          <w:u w:val="single"/>
        </w:rPr>
        <w:t>Modalidad libre</w:t>
      </w:r>
    </w:p>
    <w:p w14:paraId="00000050" w14:textId="77777777" w:rsidR="003C3F1C" w:rsidRDefault="00B35CD0" w:rsidP="00C83B70">
      <w:pPr>
        <w:spacing w:after="0" w:line="360" w:lineRule="auto"/>
        <w:jc w:val="both"/>
        <w:rPr>
          <w:rFonts w:ascii="Arial" w:eastAsia="Arial" w:hAnsi="Arial" w:cs="Arial"/>
          <w:sz w:val="24"/>
          <w:szCs w:val="24"/>
        </w:rPr>
      </w:pPr>
      <w:r>
        <w:rPr>
          <w:rFonts w:ascii="Arial" w:eastAsia="Arial" w:hAnsi="Arial" w:cs="Arial"/>
          <w:sz w:val="24"/>
          <w:szCs w:val="24"/>
        </w:rPr>
        <w:t xml:space="preserve">En la modalidad de libre, se evaluarán los contenidos de la asignatura con un examen escrito, un examen oral e instancias de evaluación similares a las realizadas en la modalidad presencial. </w:t>
      </w:r>
    </w:p>
    <w:p w14:paraId="00000051" w14:textId="77777777" w:rsidR="003C3F1C" w:rsidRDefault="003C3F1C">
      <w:pPr>
        <w:spacing w:before="120" w:line="360" w:lineRule="auto"/>
        <w:rPr>
          <w:rFonts w:ascii="Arial" w:eastAsia="Arial" w:hAnsi="Arial" w:cs="Arial"/>
          <w:b/>
          <w:sz w:val="24"/>
          <w:szCs w:val="24"/>
        </w:rPr>
        <w:sectPr w:rsidR="003C3F1C">
          <w:pgSz w:w="11906" w:h="16838"/>
          <w:pgMar w:top="1247" w:right="1417" w:bottom="1133" w:left="1700" w:header="708" w:footer="708" w:gutter="0"/>
          <w:pgNumType w:start="1"/>
          <w:cols w:space="720"/>
        </w:sectPr>
      </w:pPr>
    </w:p>
    <w:p w14:paraId="2A3EDD61" w14:textId="77777777" w:rsidR="00993EF6" w:rsidRDefault="00993EF6" w:rsidP="00993EF6">
      <w:pPr>
        <w:spacing w:after="0"/>
        <w:jc w:val="center"/>
        <w:rPr>
          <w:rFonts w:ascii="Arial" w:eastAsia="Arial" w:hAnsi="Arial" w:cs="Arial"/>
          <w:b/>
          <w:sz w:val="24"/>
          <w:szCs w:val="24"/>
        </w:rPr>
      </w:pPr>
    </w:p>
    <w:p w14:paraId="48BFA808" w14:textId="77777777" w:rsidR="00993EF6" w:rsidRDefault="00993EF6" w:rsidP="00993EF6">
      <w:pPr>
        <w:spacing w:after="0"/>
        <w:jc w:val="center"/>
        <w:rPr>
          <w:rFonts w:ascii="Arial" w:eastAsia="Arial" w:hAnsi="Arial" w:cs="Arial"/>
          <w:b/>
          <w:sz w:val="24"/>
          <w:szCs w:val="24"/>
        </w:rPr>
      </w:pPr>
    </w:p>
    <w:p w14:paraId="7B9E13EB" w14:textId="77777777" w:rsidR="00993EF6" w:rsidRDefault="00993EF6" w:rsidP="00993EF6">
      <w:pPr>
        <w:spacing w:after="0"/>
        <w:jc w:val="center"/>
        <w:rPr>
          <w:rFonts w:ascii="Arial" w:eastAsia="Arial" w:hAnsi="Arial" w:cs="Arial"/>
          <w:b/>
          <w:sz w:val="24"/>
          <w:szCs w:val="24"/>
        </w:rPr>
      </w:pPr>
    </w:p>
    <w:p w14:paraId="7A6F167A" w14:textId="77777777" w:rsidR="00993EF6" w:rsidRDefault="00993EF6" w:rsidP="00993EF6">
      <w:pPr>
        <w:spacing w:after="0"/>
        <w:jc w:val="center"/>
        <w:rPr>
          <w:rFonts w:ascii="Arial" w:eastAsia="Arial" w:hAnsi="Arial" w:cs="Arial"/>
          <w:b/>
          <w:sz w:val="24"/>
          <w:szCs w:val="24"/>
        </w:rPr>
      </w:pPr>
    </w:p>
    <w:p w14:paraId="12BE4D1F" w14:textId="77777777" w:rsidR="00993EF6" w:rsidRDefault="00993EF6" w:rsidP="00993EF6">
      <w:pPr>
        <w:spacing w:after="0"/>
        <w:jc w:val="center"/>
        <w:rPr>
          <w:rFonts w:ascii="Arial" w:eastAsia="Arial" w:hAnsi="Arial" w:cs="Arial"/>
          <w:b/>
          <w:sz w:val="24"/>
          <w:szCs w:val="24"/>
        </w:rPr>
      </w:pPr>
    </w:p>
    <w:p w14:paraId="00000052" w14:textId="63743B28" w:rsidR="003C3F1C" w:rsidRPr="00993EF6" w:rsidRDefault="00B35CD0">
      <w:pPr>
        <w:spacing w:before="120" w:line="360" w:lineRule="auto"/>
        <w:jc w:val="center"/>
        <w:rPr>
          <w:rFonts w:ascii="Arial" w:eastAsia="Arial" w:hAnsi="Arial" w:cs="Arial"/>
          <w:b/>
        </w:rPr>
      </w:pPr>
      <w:r w:rsidRPr="00993EF6">
        <w:rPr>
          <w:rFonts w:ascii="Arial" w:eastAsia="Arial" w:hAnsi="Arial" w:cs="Arial"/>
          <w:b/>
        </w:rPr>
        <w:t>CRONOGRAMA TENTATIVO</w:t>
      </w:r>
    </w:p>
    <w:p w14:paraId="7D0E577A" w14:textId="77777777" w:rsidR="00993EF6" w:rsidRPr="00993EF6" w:rsidRDefault="00993EF6">
      <w:pPr>
        <w:spacing w:before="120" w:line="360" w:lineRule="auto"/>
        <w:jc w:val="center"/>
        <w:rPr>
          <w:rFonts w:ascii="Arial" w:eastAsia="Arial" w:hAnsi="Arial" w:cs="Arial"/>
          <w:b/>
        </w:rPr>
      </w:pPr>
    </w:p>
    <w:tbl>
      <w:tblPr>
        <w:tblStyle w:val="a"/>
        <w:tblW w:w="153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8922"/>
        <w:gridCol w:w="1153"/>
        <w:gridCol w:w="715"/>
        <w:gridCol w:w="709"/>
        <w:gridCol w:w="1276"/>
        <w:gridCol w:w="1417"/>
      </w:tblGrid>
      <w:tr w:rsidR="003C3F1C" w:rsidRPr="00993EF6" w14:paraId="09D0A9ED" w14:textId="77777777">
        <w:trPr>
          <w:jc w:val="center"/>
        </w:trPr>
        <w:tc>
          <w:tcPr>
            <w:tcW w:w="1181" w:type="dxa"/>
            <w:vMerge w:val="restart"/>
            <w:vAlign w:val="center"/>
          </w:tcPr>
          <w:p w14:paraId="00000053"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Semana</w:t>
            </w:r>
          </w:p>
        </w:tc>
        <w:tc>
          <w:tcPr>
            <w:tcW w:w="8922" w:type="dxa"/>
            <w:vMerge w:val="restart"/>
            <w:vAlign w:val="center"/>
          </w:tcPr>
          <w:p w14:paraId="00000054"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Tema/unidad</w:t>
            </w:r>
          </w:p>
        </w:tc>
        <w:tc>
          <w:tcPr>
            <w:tcW w:w="3853" w:type="dxa"/>
            <w:gridSpan w:val="4"/>
          </w:tcPr>
          <w:p w14:paraId="00000055"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Actividad*</w:t>
            </w:r>
          </w:p>
        </w:tc>
        <w:tc>
          <w:tcPr>
            <w:tcW w:w="1417" w:type="dxa"/>
            <w:vMerge w:val="restart"/>
            <w:vAlign w:val="center"/>
          </w:tcPr>
          <w:p w14:paraId="00000059"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Evaluación</w:t>
            </w:r>
          </w:p>
        </w:tc>
      </w:tr>
      <w:tr w:rsidR="003C3F1C" w:rsidRPr="00993EF6" w14:paraId="2513B0F5" w14:textId="77777777">
        <w:trPr>
          <w:jc w:val="center"/>
        </w:trPr>
        <w:tc>
          <w:tcPr>
            <w:tcW w:w="1181" w:type="dxa"/>
            <w:vMerge/>
            <w:vAlign w:val="center"/>
          </w:tcPr>
          <w:p w14:paraId="0000005A" w14:textId="77777777" w:rsidR="003C3F1C" w:rsidRPr="00993EF6" w:rsidRDefault="003C3F1C">
            <w:pPr>
              <w:widowControl w:val="0"/>
              <w:pBdr>
                <w:top w:val="nil"/>
                <w:left w:val="nil"/>
                <w:bottom w:val="nil"/>
                <w:right w:val="nil"/>
                <w:between w:val="nil"/>
              </w:pBdr>
              <w:spacing w:after="0"/>
              <w:rPr>
                <w:rFonts w:ascii="Arial" w:eastAsia="Arial" w:hAnsi="Arial" w:cs="Arial"/>
                <w:color w:val="000000"/>
              </w:rPr>
            </w:pPr>
          </w:p>
        </w:tc>
        <w:tc>
          <w:tcPr>
            <w:tcW w:w="8922" w:type="dxa"/>
            <w:vMerge/>
            <w:vAlign w:val="center"/>
          </w:tcPr>
          <w:p w14:paraId="0000005B" w14:textId="77777777" w:rsidR="003C3F1C" w:rsidRPr="00993EF6" w:rsidRDefault="003C3F1C">
            <w:pPr>
              <w:widowControl w:val="0"/>
              <w:pBdr>
                <w:top w:val="nil"/>
                <w:left w:val="nil"/>
                <w:bottom w:val="nil"/>
                <w:right w:val="nil"/>
                <w:between w:val="nil"/>
              </w:pBdr>
              <w:spacing w:after="0"/>
              <w:rPr>
                <w:rFonts w:ascii="Arial" w:eastAsia="Arial" w:hAnsi="Arial" w:cs="Arial"/>
                <w:color w:val="000000"/>
              </w:rPr>
            </w:pPr>
          </w:p>
        </w:tc>
        <w:tc>
          <w:tcPr>
            <w:tcW w:w="1153" w:type="dxa"/>
            <w:vMerge w:val="restart"/>
          </w:tcPr>
          <w:p w14:paraId="0000005C"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Teórico</w:t>
            </w:r>
          </w:p>
        </w:tc>
        <w:tc>
          <w:tcPr>
            <w:tcW w:w="2700" w:type="dxa"/>
            <w:gridSpan w:val="3"/>
          </w:tcPr>
          <w:p w14:paraId="0000005D"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Práctico</w:t>
            </w:r>
          </w:p>
        </w:tc>
        <w:tc>
          <w:tcPr>
            <w:tcW w:w="1417" w:type="dxa"/>
            <w:vMerge/>
            <w:vAlign w:val="center"/>
          </w:tcPr>
          <w:p w14:paraId="00000060" w14:textId="77777777" w:rsidR="003C3F1C" w:rsidRPr="00993EF6" w:rsidRDefault="003C3F1C">
            <w:pPr>
              <w:widowControl w:val="0"/>
              <w:pBdr>
                <w:top w:val="nil"/>
                <w:left w:val="nil"/>
                <w:bottom w:val="nil"/>
                <w:right w:val="nil"/>
                <w:between w:val="nil"/>
              </w:pBdr>
              <w:spacing w:after="0"/>
              <w:rPr>
                <w:rFonts w:ascii="Arial" w:eastAsia="Arial" w:hAnsi="Arial" w:cs="Arial"/>
                <w:color w:val="000000"/>
              </w:rPr>
            </w:pPr>
          </w:p>
        </w:tc>
      </w:tr>
      <w:tr w:rsidR="003C3F1C" w:rsidRPr="00993EF6" w14:paraId="7F7861E5" w14:textId="77777777">
        <w:trPr>
          <w:jc w:val="center"/>
        </w:trPr>
        <w:tc>
          <w:tcPr>
            <w:tcW w:w="1181" w:type="dxa"/>
            <w:vMerge/>
            <w:vAlign w:val="center"/>
          </w:tcPr>
          <w:p w14:paraId="00000061" w14:textId="77777777" w:rsidR="003C3F1C" w:rsidRPr="00993EF6" w:rsidRDefault="003C3F1C">
            <w:pPr>
              <w:widowControl w:val="0"/>
              <w:pBdr>
                <w:top w:val="nil"/>
                <w:left w:val="nil"/>
                <w:bottom w:val="nil"/>
                <w:right w:val="nil"/>
                <w:between w:val="nil"/>
              </w:pBdr>
              <w:spacing w:after="0"/>
              <w:rPr>
                <w:rFonts w:ascii="Arial" w:eastAsia="Arial" w:hAnsi="Arial" w:cs="Arial"/>
                <w:color w:val="000000"/>
              </w:rPr>
            </w:pPr>
          </w:p>
        </w:tc>
        <w:tc>
          <w:tcPr>
            <w:tcW w:w="8922" w:type="dxa"/>
            <w:vMerge/>
            <w:vAlign w:val="center"/>
          </w:tcPr>
          <w:p w14:paraId="00000062" w14:textId="77777777" w:rsidR="003C3F1C" w:rsidRPr="00993EF6" w:rsidRDefault="003C3F1C">
            <w:pPr>
              <w:widowControl w:val="0"/>
              <w:pBdr>
                <w:top w:val="nil"/>
                <w:left w:val="nil"/>
                <w:bottom w:val="nil"/>
                <w:right w:val="nil"/>
                <w:between w:val="nil"/>
              </w:pBdr>
              <w:spacing w:after="0"/>
              <w:rPr>
                <w:rFonts w:ascii="Arial" w:eastAsia="Arial" w:hAnsi="Arial" w:cs="Arial"/>
                <w:color w:val="000000"/>
              </w:rPr>
            </w:pPr>
          </w:p>
        </w:tc>
        <w:tc>
          <w:tcPr>
            <w:tcW w:w="1153" w:type="dxa"/>
            <w:vMerge/>
          </w:tcPr>
          <w:p w14:paraId="00000063" w14:textId="77777777" w:rsidR="003C3F1C" w:rsidRPr="00993EF6" w:rsidRDefault="003C3F1C">
            <w:pPr>
              <w:widowControl w:val="0"/>
              <w:pBdr>
                <w:top w:val="nil"/>
                <w:left w:val="nil"/>
                <w:bottom w:val="nil"/>
                <w:right w:val="nil"/>
                <w:between w:val="nil"/>
              </w:pBdr>
              <w:spacing w:after="0"/>
              <w:rPr>
                <w:rFonts w:ascii="Arial" w:eastAsia="Arial" w:hAnsi="Arial" w:cs="Arial"/>
                <w:color w:val="000000"/>
              </w:rPr>
            </w:pPr>
          </w:p>
        </w:tc>
        <w:tc>
          <w:tcPr>
            <w:tcW w:w="715" w:type="dxa"/>
          </w:tcPr>
          <w:p w14:paraId="00000064"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Res </w:t>
            </w:r>
            <w:proofErr w:type="spellStart"/>
            <w:r w:rsidRPr="00993EF6">
              <w:rPr>
                <w:rFonts w:ascii="Arial" w:eastAsia="Arial" w:hAnsi="Arial" w:cs="Arial"/>
                <w:color w:val="000000"/>
              </w:rPr>
              <w:t>Prob</w:t>
            </w:r>
            <w:proofErr w:type="spellEnd"/>
            <w:r w:rsidRPr="00993EF6">
              <w:rPr>
                <w:rFonts w:ascii="Arial" w:eastAsia="Arial" w:hAnsi="Arial" w:cs="Arial"/>
                <w:color w:val="000000"/>
              </w:rPr>
              <w:t>.</w:t>
            </w:r>
          </w:p>
        </w:tc>
        <w:tc>
          <w:tcPr>
            <w:tcW w:w="709" w:type="dxa"/>
          </w:tcPr>
          <w:p w14:paraId="00000065" w14:textId="77777777" w:rsidR="003C3F1C" w:rsidRPr="00993EF6" w:rsidRDefault="00B35CD0">
            <w:pPr>
              <w:spacing w:before="120" w:after="0" w:line="360" w:lineRule="auto"/>
              <w:jc w:val="both"/>
              <w:rPr>
                <w:rFonts w:ascii="Arial" w:eastAsia="Arial" w:hAnsi="Arial" w:cs="Arial"/>
                <w:color w:val="000000"/>
              </w:rPr>
            </w:pPr>
            <w:proofErr w:type="spellStart"/>
            <w:r w:rsidRPr="00993EF6">
              <w:rPr>
                <w:rFonts w:ascii="Arial" w:eastAsia="Arial" w:hAnsi="Arial" w:cs="Arial"/>
                <w:color w:val="000000"/>
              </w:rPr>
              <w:t>Lab</w:t>
            </w:r>
            <w:proofErr w:type="spellEnd"/>
            <w:r w:rsidRPr="00993EF6">
              <w:rPr>
                <w:rFonts w:ascii="Arial" w:eastAsia="Arial" w:hAnsi="Arial" w:cs="Arial"/>
                <w:color w:val="000000"/>
              </w:rPr>
              <w:t>.</w:t>
            </w:r>
          </w:p>
        </w:tc>
        <w:tc>
          <w:tcPr>
            <w:tcW w:w="1276" w:type="dxa"/>
          </w:tcPr>
          <w:p w14:paraId="00000066"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Otros</w:t>
            </w:r>
          </w:p>
          <w:p w14:paraId="00000067"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Especificar</w:t>
            </w:r>
          </w:p>
        </w:tc>
        <w:tc>
          <w:tcPr>
            <w:tcW w:w="1417" w:type="dxa"/>
            <w:vMerge/>
            <w:vAlign w:val="center"/>
          </w:tcPr>
          <w:p w14:paraId="00000068" w14:textId="77777777" w:rsidR="003C3F1C" w:rsidRPr="00993EF6" w:rsidRDefault="003C3F1C">
            <w:pPr>
              <w:widowControl w:val="0"/>
              <w:pBdr>
                <w:top w:val="nil"/>
                <w:left w:val="nil"/>
                <w:bottom w:val="nil"/>
                <w:right w:val="nil"/>
                <w:between w:val="nil"/>
              </w:pBdr>
              <w:spacing w:after="0"/>
              <w:rPr>
                <w:rFonts w:ascii="Arial" w:eastAsia="Arial" w:hAnsi="Arial" w:cs="Arial"/>
                <w:color w:val="000000"/>
              </w:rPr>
            </w:pPr>
          </w:p>
        </w:tc>
      </w:tr>
      <w:tr w:rsidR="003C3F1C" w:rsidRPr="00993EF6" w14:paraId="4850858D" w14:textId="77777777">
        <w:trPr>
          <w:jc w:val="center"/>
        </w:trPr>
        <w:tc>
          <w:tcPr>
            <w:tcW w:w="1181" w:type="dxa"/>
          </w:tcPr>
          <w:p w14:paraId="00000069"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w:t>
            </w:r>
          </w:p>
        </w:tc>
        <w:tc>
          <w:tcPr>
            <w:tcW w:w="8922" w:type="dxa"/>
          </w:tcPr>
          <w:p w14:paraId="0000006A"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Presentación del curso. </w:t>
            </w:r>
          </w:p>
          <w:p w14:paraId="0000006B"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Políticas y Universidad en la Argentina. La Reforma Universitaria como movimiento político cultural</w:t>
            </w:r>
          </w:p>
        </w:tc>
        <w:tc>
          <w:tcPr>
            <w:tcW w:w="3853" w:type="dxa"/>
            <w:gridSpan w:val="4"/>
          </w:tcPr>
          <w:p w14:paraId="0000006C"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X</w:t>
            </w:r>
          </w:p>
        </w:tc>
        <w:tc>
          <w:tcPr>
            <w:tcW w:w="1417" w:type="dxa"/>
          </w:tcPr>
          <w:p w14:paraId="00000070"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542059B3" w14:textId="77777777">
        <w:trPr>
          <w:jc w:val="center"/>
        </w:trPr>
        <w:tc>
          <w:tcPr>
            <w:tcW w:w="1181" w:type="dxa"/>
          </w:tcPr>
          <w:p w14:paraId="00000071"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2</w:t>
            </w:r>
          </w:p>
        </w:tc>
        <w:tc>
          <w:tcPr>
            <w:tcW w:w="8922" w:type="dxa"/>
          </w:tcPr>
          <w:p w14:paraId="00000072"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El contexto socio histórico nacional. La docencia libre y el cogobierno.</w:t>
            </w:r>
          </w:p>
        </w:tc>
        <w:tc>
          <w:tcPr>
            <w:tcW w:w="3853" w:type="dxa"/>
            <w:gridSpan w:val="4"/>
          </w:tcPr>
          <w:p w14:paraId="00000073"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77"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781DFBF2" w14:textId="77777777">
        <w:trPr>
          <w:jc w:val="center"/>
        </w:trPr>
        <w:tc>
          <w:tcPr>
            <w:tcW w:w="1181" w:type="dxa"/>
          </w:tcPr>
          <w:p w14:paraId="00000078"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3</w:t>
            </w:r>
          </w:p>
        </w:tc>
        <w:tc>
          <w:tcPr>
            <w:tcW w:w="8922" w:type="dxa"/>
          </w:tcPr>
          <w:p w14:paraId="00000079"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El contexto socio histórico nacional. La docencia libre y el cogobierno.</w:t>
            </w:r>
          </w:p>
        </w:tc>
        <w:tc>
          <w:tcPr>
            <w:tcW w:w="3853" w:type="dxa"/>
            <w:gridSpan w:val="4"/>
          </w:tcPr>
          <w:p w14:paraId="0000007A"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7E"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31575D8A" w14:textId="77777777">
        <w:trPr>
          <w:jc w:val="center"/>
        </w:trPr>
        <w:tc>
          <w:tcPr>
            <w:tcW w:w="1181" w:type="dxa"/>
          </w:tcPr>
          <w:p w14:paraId="0000007F"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lastRenderedPageBreak/>
              <w:t>4</w:t>
            </w:r>
          </w:p>
        </w:tc>
        <w:tc>
          <w:tcPr>
            <w:tcW w:w="8922" w:type="dxa"/>
          </w:tcPr>
          <w:p w14:paraId="00000080"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El Principio de autonomía y autarquía: su desarrollo histórico a través de la organización universitaria y la respuesta de los poderes públicos.</w:t>
            </w:r>
          </w:p>
        </w:tc>
        <w:tc>
          <w:tcPr>
            <w:tcW w:w="3853" w:type="dxa"/>
            <w:gridSpan w:val="4"/>
          </w:tcPr>
          <w:p w14:paraId="00000081"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85"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7FAC3CE3" w14:textId="77777777">
        <w:trPr>
          <w:jc w:val="center"/>
        </w:trPr>
        <w:tc>
          <w:tcPr>
            <w:tcW w:w="1181" w:type="dxa"/>
          </w:tcPr>
          <w:p w14:paraId="00000086"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5</w:t>
            </w:r>
          </w:p>
        </w:tc>
        <w:tc>
          <w:tcPr>
            <w:tcW w:w="8922" w:type="dxa"/>
          </w:tcPr>
          <w:p w14:paraId="00000087"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La crisis del modelo reformista.  De la Universidad de elite a la Universidad de masas.</w:t>
            </w:r>
          </w:p>
        </w:tc>
        <w:tc>
          <w:tcPr>
            <w:tcW w:w="3853" w:type="dxa"/>
            <w:gridSpan w:val="4"/>
          </w:tcPr>
          <w:p w14:paraId="00000088"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8C"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0DA8D4CB" w14:textId="77777777">
        <w:trPr>
          <w:jc w:val="center"/>
        </w:trPr>
        <w:tc>
          <w:tcPr>
            <w:tcW w:w="1181" w:type="dxa"/>
          </w:tcPr>
          <w:p w14:paraId="0000008D"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6</w:t>
            </w:r>
          </w:p>
        </w:tc>
        <w:tc>
          <w:tcPr>
            <w:tcW w:w="8922" w:type="dxa"/>
          </w:tcPr>
          <w:p w14:paraId="0000008E"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La crisis del modelo reformista.  De la Universidad de elite a la Universidad de masas.</w:t>
            </w:r>
          </w:p>
        </w:tc>
        <w:tc>
          <w:tcPr>
            <w:tcW w:w="3853" w:type="dxa"/>
            <w:gridSpan w:val="4"/>
          </w:tcPr>
          <w:p w14:paraId="0000008F"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93"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20F81AD5" w14:textId="77777777">
        <w:trPr>
          <w:jc w:val="center"/>
        </w:trPr>
        <w:tc>
          <w:tcPr>
            <w:tcW w:w="1181" w:type="dxa"/>
          </w:tcPr>
          <w:p w14:paraId="00000094"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7</w:t>
            </w:r>
          </w:p>
        </w:tc>
        <w:tc>
          <w:tcPr>
            <w:tcW w:w="8922" w:type="dxa"/>
            <w:vAlign w:val="center"/>
          </w:tcPr>
          <w:p w14:paraId="00000095"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Entrega y Exposición de Trabajos Prácticos</w:t>
            </w:r>
          </w:p>
        </w:tc>
        <w:tc>
          <w:tcPr>
            <w:tcW w:w="3853" w:type="dxa"/>
            <w:gridSpan w:val="4"/>
          </w:tcPr>
          <w:p w14:paraId="00000096"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                    X </w:t>
            </w:r>
          </w:p>
        </w:tc>
        <w:tc>
          <w:tcPr>
            <w:tcW w:w="1417" w:type="dxa"/>
          </w:tcPr>
          <w:p w14:paraId="0000009A"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692A21DC" w14:textId="77777777">
        <w:trPr>
          <w:jc w:val="center"/>
        </w:trPr>
        <w:tc>
          <w:tcPr>
            <w:tcW w:w="1181" w:type="dxa"/>
          </w:tcPr>
          <w:p w14:paraId="0000009B"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8</w:t>
            </w:r>
          </w:p>
        </w:tc>
        <w:tc>
          <w:tcPr>
            <w:tcW w:w="8922" w:type="dxa"/>
          </w:tcPr>
          <w:p w14:paraId="0000009C"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Evaluación</w:t>
            </w:r>
          </w:p>
        </w:tc>
        <w:tc>
          <w:tcPr>
            <w:tcW w:w="3853" w:type="dxa"/>
            <w:gridSpan w:val="4"/>
          </w:tcPr>
          <w:p w14:paraId="0000009D" w14:textId="77777777" w:rsidR="003C3F1C" w:rsidRPr="00993EF6" w:rsidRDefault="003C3F1C">
            <w:pPr>
              <w:spacing w:before="120" w:after="0" w:line="360" w:lineRule="auto"/>
              <w:jc w:val="both"/>
              <w:rPr>
                <w:rFonts w:ascii="Arial" w:eastAsia="Arial" w:hAnsi="Arial" w:cs="Arial"/>
                <w:color w:val="000000"/>
              </w:rPr>
            </w:pPr>
          </w:p>
        </w:tc>
        <w:tc>
          <w:tcPr>
            <w:tcW w:w="1417" w:type="dxa"/>
          </w:tcPr>
          <w:p w14:paraId="000000A1"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X</w:t>
            </w:r>
          </w:p>
        </w:tc>
      </w:tr>
      <w:tr w:rsidR="003C3F1C" w:rsidRPr="00993EF6" w14:paraId="1061F5E0" w14:textId="77777777">
        <w:trPr>
          <w:jc w:val="center"/>
        </w:trPr>
        <w:tc>
          <w:tcPr>
            <w:tcW w:w="1181" w:type="dxa"/>
          </w:tcPr>
          <w:p w14:paraId="000000A2"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9</w:t>
            </w:r>
          </w:p>
        </w:tc>
        <w:tc>
          <w:tcPr>
            <w:tcW w:w="8922" w:type="dxa"/>
          </w:tcPr>
          <w:p w14:paraId="000000A3"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Las Universidades como actores políticos y las modificaciones del régimen político en la segunda mitad del siglo XX argentino.</w:t>
            </w:r>
          </w:p>
        </w:tc>
        <w:tc>
          <w:tcPr>
            <w:tcW w:w="3853" w:type="dxa"/>
            <w:gridSpan w:val="4"/>
          </w:tcPr>
          <w:p w14:paraId="000000A4"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A8"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19225D02" w14:textId="77777777">
        <w:trPr>
          <w:jc w:val="center"/>
        </w:trPr>
        <w:tc>
          <w:tcPr>
            <w:tcW w:w="1181" w:type="dxa"/>
          </w:tcPr>
          <w:p w14:paraId="000000A9"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10</w:t>
            </w:r>
          </w:p>
        </w:tc>
        <w:tc>
          <w:tcPr>
            <w:tcW w:w="8922" w:type="dxa"/>
          </w:tcPr>
          <w:p w14:paraId="000000AA"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La Universidad Pública y sus relaciones con la producción y el trabajo.</w:t>
            </w:r>
          </w:p>
        </w:tc>
        <w:tc>
          <w:tcPr>
            <w:tcW w:w="3853" w:type="dxa"/>
            <w:gridSpan w:val="4"/>
          </w:tcPr>
          <w:p w14:paraId="000000AB"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AF"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5656C5E8" w14:textId="77777777">
        <w:trPr>
          <w:jc w:val="center"/>
        </w:trPr>
        <w:tc>
          <w:tcPr>
            <w:tcW w:w="1181" w:type="dxa"/>
          </w:tcPr>
          <w:p w14:paraId="000000B0"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11</w:t>
            </w:r>
          </w:p>
        </w:tc>
        <w:tc>
          <w:tcPr>
            <w:tcW w:w="8922" w:type="dxa"/>
          </w:tcPr>
          <w:p w14:paraId="000000B1"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Las trasformaciones de la Educación Superior en Democracia: gratuidad y equidad. Evaluación y Calidad.</w:t>
            </w:r>
          </w:p>
        </w:tc>
        <w:tc>
          <w:tcPr>
            <w:tcW w:w="3853" w:type="dxa"/>
            <w:gridSpan w:val="4"/>
          </w:tcPr>
          <w:p w14:paraId="000000B2"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B6"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59F32740" w14:textId="77777777">
        <w:trPr>
          <w:jc w:val="center"/>
        </w:trPr>
        <w:tc>
          <w:tcPr>
            <w:tcW w:w="1181" w:type="dxa"/>
          </w:tcPr>
          <w:p w14:paraId="000000B7"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12</w:t>
            </w:r>
          </w:p>
        </w:tc>
        <w:tc>
          <w:tcPr>
            <w:tcW w:w="8922" w:type="dxa"/>
          </w:tcPr>
          <w:p w14:paraId="000000B8"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La expansión del sistema y las nuevas demandas sociales.</w:t>
            </w:r>
          </w:p>
        </w:tc>
        <w:tc>
          <w:tcPr>
            <w:tcW w:w="3853" w:type="dxa"/>
            <w:gridSpan w:val="4"/>
          </w:tcPr>
          <w:p w14:paraId="000000B9"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BD"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6035B783" w14:textId="77777777">
        <w:trPr>
          <w:jc w:val="center"/>
        </w:trPr>
        <w:tc>
          <w:tcPr>
            <w:tcW w:w="1181" w:type="dxa"/>
          </w:tcPr>
          <w:p w14:paraId="000000BE"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13</w:t>
            </w:r>
          </w:p>
        </w:tc>
        <w:tc>
          <w:tcPr>
            <w:tcW w:w="8922" w:type="dxa"/>
          </w:tcPr>
          <w:p w14:paraId="000000BF"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Los ejes del debate actual en la Educación Superior</w:t>
            </w:r>
          </w:p>
        </w:tc>
        <w:tc>
          <w:tcPr>
            <w:tcW w:w="3853" w:type="dxa"/>
            <w:gridSpan w:val="4"/>
          </w:tcPr>
          <w:p w14:paraId="000000C0"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X                 </w:t>
            </w:r>
            <w:proofErr w:type="spellStart"/>
            <w:r w:rsidRPr="00993EF6">
              <w:rPr>
                <w:rFonts w:ascii="Arial" w:eastAsia="Arial" w:hAnsi="Arial" w:cs="Arial"/>
                <w:color w:val="000000"/>
              </w:rPr>
              <w:t>X</w:t>
            </w:r>
            <w:proofErr w:type="spellEnd"/>
          </w:p>
        </w:tc>
        <w:tc>
          <w:tcPr>
            <w:tcW w:w="1417" w:type="dxa"/>
          </w:tcPr>
          <w:p w14:paraId="000000C4"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07CE00B3" w14:textId="77777777">
        <w:trPr>
          <w:jc w:val="center"/>
        </w:trPr>
        <w:tc>
          <w:tcPr>
            <w:tcW w:w="1181" w:type="dxa"/>
          </w:tcPr>
          <w:p w14:paraId="000000C5"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14</w:t>
            </w:r>
          </w:p>
        </w:tc>
        <w:tc>
          <w:tcPr>
            <w:tcW w:w="8922" w:type="dxa"/>
            <w:vAlign w:val="center"/>
          </w:tcPr>
          <w:p w14:paraId="000000C6"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Entrega y Exposición de Trabajos Prácticos</w:t>
            </w:r>
          </w:p>
        </w:tc>
        <w:tc>
          <w:tcPr>
            <w:tcW w:w="3853" w:type="dxa"/>
            <w:gridSpan w:val="4"/>
          </w:tcPr>
          <w:p w14:paraId="000000C7"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 xml:space="preserve">                   X</w:t>
            </w:r>
          </w:p>
        </w:tc>
        <w:tc>
          <w:tcPr>
            <w:tcW w:w="1417" w:type="dxa"/>
          </w:tcPr>
          <w:p w14:paraId="000000CB"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04FD79EB" w14:textId="77777777">
        <w:trPr>
          <w:jc w:val="center"/>
        </w:trPr>
        <w:tc>
          <w:tcPr>
            <w:tcW w:w="1181" w:type="dxa"/>
          </w:tcPr>
          <w:p w14:paraId="000000CC"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15</w:t>
            </w:r>
          </w:p>
        </w:tc>
        <w:tc>
          <w:tcPr>
            <w:tcW w:w="8922" w:type="dxa"/>
            <w:vAlign w:val="center"/>
          </w:tcPr>
          <w:p w14:paraId="000000CD"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Evaluación</w:t>
            </w:r>
          </w:p>
        </w:tc>
        <w:tc>
          <w:tcPr>
            <w:tcW w:w="3853" w:type="dxa"/>
            <w:gridSpan w:val="4"/>
          </w:tcPr>
          <w:p w14:paraId="000000CE" w14:textId="77777777" w:rsidR="003C3F1C" w:rsidRPr="00993EF6" w:rsidRDefault="003C3F1C">
            <w:pPr>
              <w:spacing w:before="120" w:after="0" w:line="360" w:lineRule="auto"/>
              <w:jc w:val="both"/>
              <w:rPr>
                <w:rFonts w:ascii="Arial" w:eastAsia="Arial" w:hAnsi="Arial" w:cs="Arial"/>
                <w:color w:val="000000"/>
              </w:rPr>
            </w:pPr>
          </w:p>
        </w:tc>
        <w:tc>
          <w:tcPr>
            <w:tcW w:w="1417" w:type="dxa"/>
          </w:tcPr>
          <w:p w14:paraId="000000D2"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X</w:t>
            </w:r>
          </w:p>
        </w:tc>
      </w:tr>
      <w:tr w:rsidR="003C3F1C" w:rsidRPr="00993EF6" w14:paraId="0B3AEA44" w14:textId="77777777">
        <w:trPr>
          <w:jc w:val="center"/>
        </w:trPr>
        <w:tc>
          <w:tcPr>
            <w:tcW w:w="1181" w:type="dxa"/>
          </w:tcPr>
          <w:p w14:paraId="000000D3"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16</w:t>
            </w:r>
          </w:p>
        </w:tc>
        <w:tc>
          <w:tcPr>
            <w:tcW w:w="8922" w:type="dxa"/>
            <w:vAlign w:val="center"/>
          </w:tcPr>
          <w:p w14:paraId="000000D4"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Repaso, consultas</w:t>
            </w:r>
          </w:p>
        </w:tc>
        <w:tc>
          <w:tcPr>
            <w:tcW w:w="3853" w:type="dxa"/>
            <w:gridSpan w:val="4"/>
          </w:tcPr>
          <w:p w14:paraId="000000D5"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X</w:t>
            </w:r>
          </w:p>
        </w:tc>
        <w:tc>
          <w:tcPr>
            <w:tcW w:w="1417" w:type="dxa"/>
          </w:tcPr>
          <w:p w14:paraId="000000D9" w14:textId="77777777" w:rsidR="003C3F1C" w:rsidRPr="00993EF6" w:rsidRDefault="003C3F1C">
            <w:pPr>
              <w:spacing w:before="120" w:after="0" w:line="360" w:lineRule="auto"/>
              <w:jc w:val="both"/>
              <w:rPr>
                <w:rFonts w:ascii="Arial" w:eastAsia="Arial" w:hAnsi="Arial" w:cs="Arial"/>
                <w:color w:val="000000"/>
              </w:rPr>
            </w:pPr>
          </w:p>
        </w:tc>
      </w:tr>
      <w:tr w:rsidR="003C3F1C" w:rsidRPr="00993EF6" w14:paraId="6E39E786" w14:textId="77777777">
        <w:trPr>
          <w:jc w:val="center"/>
        </w:trPr>
        <w:tc>
          <w:tcPr>
            <w:tcW w:w="1181" w:type="dxa"/>
          </w:tcPr>
          <w:p w14:paraId="000000DA"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17</w:t>
            </w:r>
          </w:p>
        </w:tc>
        <w:tc>
          <w:tcPr>
            <w:tcW w:w="8922" w:type="dxa"/>
            <w:vAlign w:val="center"/>
          </w:tcPr>
          <w:p w14:paraId="000000DB"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Recuperatorios</w:t>
            </w:r>
          </w:p>
        </w:tc>
        <w:tc>
          <w:tcPr>
            <w:tcW w:w="3853" w:type="dxa"/>
            <w:gridSpan w:val="4"/>
          </w:tcPr>
          <w:p w14:paraId="000000DC" w14:textId="77777777" w:rsidR="003C3F1C" w:rsidRPr="00993EF6" w:rsidRDefault="003C3F1C">
            <w:pPr>
              <w:spacing w:before="120" w:after="0" w:line="360" w:lineRule="auto"/>
              <w:jc w:val="both"/>
              <w:rPr>
                <w:rFonts w:ascii="Arial" w:eastAsia="Arial" w:hAnsi="Arial" w:cs="Arial"/>
                <w:color w:val="000000"/>
              </w:rPr>
            </w:pPr>
          </w:p>
        </w:tc>
        <w:tc>
          <w:tcPr>
            <w:tcW w:w="1417" w:type="dxa"/>
          </w:tcPr>
          <w:p w14:paraId="000000E0"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X</w:t>
            </w:r>
          </w:p>
        </w:tc>
      </w:tr>
      <w:tr w:rsidR="003C3F1C" w:rsidRPr="00993EF6" w14:paraId="3E74020E" w14:textId="77777777">
        <w:trPr>
          <w:jc w:val="center"/>
        </w:trPr>
        <w:tc>
          <w:tcPr>
            <w:tcW w:w="1181" w:type="dxa"/>
          </w:tcPr>
          <w:p w14:paraId="000000E1"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lastRenderedPageBreak/>
              <w:t>18</w:t>
            </w:r>
          </w:p>
        </w:tc>
        <w:tc>
          <w:tcPr>
            <w:tcW w:w="8922" w:type="dxa"/>
            <w:vAlign w:val="center"/>
          </w:tcPr>
          <w:p w14:paraId="000000E2" w14:textId="77777777" w:rsidR="003C3F1C" w:rsidRPr="00993EF6" w:rsidRDefault="00B35CD0">
            <w:pPr>
              <w:spacing w:before="120" w:after="0" w:line="360" w:lineRule="auto"/>
              <w:jc w:val="both"/>
              <w:rPr>
                <w:rFonts w:ascii="Arial" w:eastAsia="Arial" w:hAnsi="Arial" w:cs="Arial"/>
              </w:rPr>
            </w:pPr>
            <w:r w:rsidRPr="00993EF6">
              <w:rPr>
                <w:rFonts w:ascii="Arial" w:eastAsia="Arial" w:hAnsi="Arial" w:cs="Arial"/>
              </w:rPr>
              <w:t>Examen integrador</w:t>
            </w:r>
          </w:p>
        </w:tc>
        <w:tc>
          <w:tcPr>
            <w:tcW w:w="3853" w:type="dxa"/>
            <w:gridSpan w:val="4"/>
          </w:tcPr>
          <w:p w14:paraId="000000E3" w14:textId="77777777" w:rsidR="003C3F1C" w:rsidRPr="00993EF6" w:rsidRDefault="003C3F1C">
            <w:pPr>
              <w:spacing w:before="120" w:after="0" w:line="360" w:lineRule="auto"/>
              <w:jc w:val="both"/>
              <w:rPr>
                <w:rFonts w:ascii="Arial" w:eastAsia="Arial" w:hAnsi="Arial" w:cs="Arial"/>
                <w:color w:val="000000"/>
              </w:rPr>
            </w:pPr>
          </w:p>
        </w:tc>
        <w:tc>
          <w:tcPr>
            <w:tcW w:w="1417" w:type="dxa"/>
          </w:tcPr>
          <w:p w14:paraId="000000E7" w14:textId="77777777" w:rsidR="003C3F1C" w:rsidRPr="00993EF6" w:rsidRDefault="00B35CD0">
            <w:pPr>
              <w:spacing w:before="120" w:after="0" w:line="360" w:lineRule="auto"/>
              <w:jc w:val="both"/>
              <w:rPr>
                <w:rFonts w:ascii="Arial" w:eastAsia="Arial" w:hAnsi="Arial" w:cs="Arial"/>
                <w:color w:val="000000"/>
              </w:rPr>
            </w:pPr>
            <w:r w:rsidRPr="00993EF6">
              <w:rPr>
                <w:rFonts w:ascii="Arial" w:eastAsia="Arial" w:hAnsi="Arial" w:cs="Arial"/>
                <w:color w:val="000000"/>
              </w:rPr>
              <w:t>X</w:t>
            </w:r>
          </w:p>
        </w:tc>
      </w:tr>
    </w:tbl>
    <w:p w14:paraId="000000E8" w14:textId="77777777" w:rsidR="003C3F1C" w:rsidRPr="00993EF6" w:rsidRDefault="003C3F1C"/>
    <w:sectPr w:rsidR="003C3F1C" w:rsidRPr="00993EF6">
      <w:pgSz w:w="16838" w:h="11906" w:orient="landscape"/>
      <w:pgMar w:top="1700" w:right="1417" w:bottom="1700"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E18B" w14:textId="77777777" w:rsidR="007434DD" w:rsidRDefault="007434DD">
      <w:pPr>
        <w:spacing w:after="0" w:line="240" w:lineRule="auto"/>
      </w:pPr>
      <w:r>
        <w:separator/>
      </w:r>
    </w:p>
  </w:endnote>
  <w:endnote w:type="continuationSeparator" w:id="0">
    <w:p w14:paraId="69D66877" w14:textId="77777777" w:rsidR="007434DD" w:rsidRDefault="0074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B214" w14:textId="77777777" w:rsidR="007434DD" w:rsidRDefault="007434DD">
      <w:pPr>
        <w:spacing w:after="0" w:line="240" w:lineRule="auto"/>
      </w:pPr>
      <w:r>
        <w:separator/>
      </w:r>
    </w:p>
  </w:footnote>
  <w:footnote w:type="continuationSeparator" w:id="0">
    <w:p w14:paraId="4295A115" w14:textId="77777777" w:rsidR="007434DD" w:rsidRDefault="007434DD">
      <w:pPr>
        <w:spacing w:after="0" w:line="240" w:lineRule="auto"/>
      </w:pPr>
      <w:r>
        <w:continuationSeparator/>
      </w:r>
    </w:p>
  </w:footnote>
  <w:footnote w:id="1">
    <w:p w14:paraId="2E29A2C0" w14:textId="77777777" w:rsidR="007A581F" w:rsidRPr="00F84E15" w:rsidRDefault="007A581F" w:rsidP="007A581F">
      <w:pPr>
        <w:pStyle w:val="Textonotapie"/>
        <w:rPr>
          <w:lang w:val="es-AR"/>
        </w:rPr>
      </w:pPr>
      <w:r>
        <w:rPr>
          <w:rStyle w:val="Refdenotaalpie"/>
        </w:rPr>
        <w:footnoteRef/>
      </w:r>
      <w:r>
        <w:t xml:space="preserve"> En plan vigente, Res CS </w:t>
      </w:r>
      <w:proofErr w:type="spellStart"/>
      <w:r>
        <w:t>N°</w:t>
      </w:r>
      <w:proofErr w:type="spellEnd"/>
      <w:r>
        <w:t xml:space="preserve"> 467/15. Para los Planes Res CS </w:t>
      </w:r>
      <w:proofErr w:type="spellStart"/>
      <w:r>
        <w:t>N°</w:t>
      </w:r>
      <w:proofErr w:type="spellEnd"/>
      <w:r>
        <w:t xml:space="preserve"> 182/03 y Res CS </w:t>
      </w:r>
      <w:proofErr w:type="spellStart"/>
      <w:r>
        <w:t>N°</w:t>
      </w:r>
      <w:proofErr w:type="spellEnd"/>
      <w:r>
        <w:t xml:space="preserve"> 179/03 es también requisito curricular.</w:t>
      </w:r>
    </w:p>
  </w:footnote>
  <w:footnote w:id="2">
    <w:p w14:paraId="000000E9" w14:textId="77777777" w:rsidR="003C3F1C" w:rsidRDefault="00B35CD0">
      <w:pPr>
        <w:spacing w:after="0" w:line="240" w:lineRule="auto"/>
        <w:rPr>
          <w:rFonts w:ascii="Times New Roman" w:eastAsia="Times New Roman" w:hAnsi="Times New Roman" w:cs="Times New Roman"/>
          <w:sz w:val="20"/>
          <w:szCs w:val="20"/>
        </w:rPr>
      </w:pPr>
      <w:r>
        <w:rPr>
          <w:vertAlign w:val="superscript"/>
        </w:rPr>
        <w:footnoteRef/>
      </w:r>
      <w:r>
        <w:rPr>
          <w:rFonts w:ascii="Arial" w:eastAsia="Arial" w:hAnsi="Arial" w:cs="Arial"/>
          <w:sz w:val="20"/>
          <w:szCs w:val="20"/>
        </w:rPr>
        <w:t xml:space="preserve"> </w:t>
      </w:r>
      <w:r>
        <w:rPr>
          <w:rFonts w:ascii="Times New Roman" w:eastAsia="Times New Roman" w:hAnsi="Times New Roman" w:cs="Times New Roman"/>
          <w:i/>
          <w:sz w:val="20"/>
          <w:szCs w:val="20"/>
        </w:rPr>
        <w:t>Araujo Sonia, Araujo Sonia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Didáctica General</w:t>
      </w:r>
      <w:r>
        <w:rPr>
          <w:rFonts w:ascii="Times New Roman" w:eastAsia="Times New Roman" w:hAnsi="Times New Roman" w:cs="Times New Roman"/>
          <w:sz w:val="20"/>
          <w:szCs w:val="20"/>
        </w:rPr>
        <w:t>. -- Buenos Aires: Editorial de la Universidad Nacional de Quilmes, 2002. -- p.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79CA"/>
    <w:multiLevelType w:val="multilevel"/>
    <w:tmpl w:val="2B46A61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3C500B52"/>
    <w:multiLevelType w:val="multilevel"/>
    <w:tmpl w:val="0164A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6A5E14"/>
    <w:multiLevelType w:val="multilevel"/>
    <w:tmpl w:val="DF545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1C"/>
    <w:rsid w:val="0007289B"/>
    <w:rsid w:val="001541A7"/>
    <w:rsid w:val="003C3F1C"/>
    <w:rsid w:val="004B71B1"/>
    <w:rsid w:val="00690DB8"/>
    <w:rsid w:val="007434DD"/>
    <w:rsid w:val="007A581F"/>
    <w:rsid w:val="008769C3"/>
    <w:rsid w:val="008A663B"/>
    <w:rsid w:val="00993EF6"/>
    <w:rsid w:val="00B35CD0"/>
    <w:rsid w:val="00C83B70"/>
    <w:rsid w:val="00CA00E0"/>
    <w:rsid w:val="00D054F4"/>
    <w:rsid w:val="00F55F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806B"/>
  <w15:docId w15:val="{130D34DC-1A86-47EA-84EB-31E80CCE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semiHidden/>
    <w:unhideWhenUsed/>
    <w:rsid w:val="00702A2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02A2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702A28"/>
    <w:rPr>
      <w:vertAlign w:val="superscript"/>
    </w:rPr>
  </w:style>
  <w:style w:type="paragraph" w:styleId="Prrafodelista">
    <w:name w:val="List Paragraph"/>
    <w:basedOn w:val="Normal"/>
    <w:uiPriority w:val="34"/>
    <w:qFormat/>
    <w:rsid w:val="00702A28"/>
    <w:pPr>
      <w:spacing w:after="0" w:line="240" w:lineRule="auto"/>
      <w:ind w:left="720"/>
      <w:contextualSpacing/>
    </w:pPr>
    <w:rPr>
      <w:rFonts w:ascii="Arial" w:eastAsia="Times New Roman" w:hAnsi="Arial" w:cs="Arial"/>
      <w:sz w:val="28"/>
      <w:szCs w:val="2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Uk0I3jJ3+KI/Pj9iPrFN67urUw==">AMUW2mWzZFY3PkXppKCQQWY7OQC4F0wCZQ+M56MAdl5QJwLdo+GkJ7WyFGjSofVUHRVdcyMzrsHl0MpsDZHAX1L+jl1uRR7jK9JiT174haqX3CwNmYosaFi0vSBAMrNHhpSTjRNXjeQH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1788</Words>
  <Characters>9837</Characters>
  <Application>Microsoft Office Word</Application>
  <DocSecurity>0</DocSecurity>
  <Lines>81</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2021-05-31T20:02:00Z</dcterms:created>
  <dcterms:modified xsi:type="dcterms:W3CDTF">2021-06-23T20:25:00Z</dcterms:modified>
</cp:coreProperties>
</file>