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18F59" w14:textId="77777777" w:rsidR="00CE1FA9" w:rsidRDefault="00CE1FA9" w:rsidP="00CE1FA9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5CF502BA" w14:textId="77777777" w:rsidR="00CE1FA9" w:rsidRDefault="00CE1FA9" w:rsidP="00CE1FA9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3E7678A8" w14:textId="77777777" w:rsidR="00CE1FA9" w:rsidRDefault="00CE1FA9" w:rsidP="00CE1FA9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61FF8BC3" w14:textId="77777777" w:rsidR="00CE1FA9" w:rsidRDefault="00CE1FA9" w:rsidP="00CE1FA9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23A1A3AA" w14:textId="77777777" w:rsidR="00CE1FA9" w:rsidRDefault="00CE1FA9" w:rsidP="00CE1FA9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00000001" w14:textId="77777777" w:rsidR="00025CCA" w:rsidRDefault="00647EE4">
      <w:pPr>
        <w:spacing w:before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PROGRAMA DE QUÍMICA II</w:t>
      </w:r>
    </w:p>
    <w:p w14:paraId="00000002" w14:textId="77777777" w:rsidR="00025CCA" w:rsidRDefault="00025CCA">
      <w:pPr>
        <w:spacing w:before="120" w:line="276" w:lineRule="auto"/>
        <w:jc w:val="both"/>
        <w:rPr>
          <w:sz w:val="24"/>
          <w:szCs w:val="24"/>
        </w:rPr>
      </w:pPr>
    </w:p>
    <w:p w14:paraId="00000003" w14:textId="77777777" w:rsidR="00025CCA" w:rsidRDefault="00647EE4">
      <w:pPr>
        <w:tabs>
          <w:tab w:val="left" w:pos="2943"/>
        </w:tabs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Carrera:</w:t>
      </w:r>
      <w:r>
        <w:rPr>
          <w:rFonts w:eastAsia="Arial"/>
          <w:color w:val="333333"/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Ingeniería en Alimentos</w:t>
      </w:r>
    </w:p>
    <w:p w14:paraId="00000004" w14:textId="141A34AA" w:rsidR="00025CCA" w:rsidRDefault="00647EE4">
      <w:pPr>
        <w:tabs>
          <w:tab w:val="left" w:pos="2943"/>
        </w:tabs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Asignatura: </w:t>
      </w:r>
      <w:r>
        <w:rPr>
          <w:sz w:val="24"/>
          <w:szCs w:val="24"/>
        </w:rPr>
        <w:t>Química II</w:t>
      </w:r>
    </w:p>
    <w:p w14:paraId="00000005" w14:textId="1AF8C94E" w:rsidR="00025CCA" w:rsidRDefault="00647EE4">
      <w:pPr>
        <w:tabs>
          <w:tab w:val="left" w:pos="3518"/>
        </w:tabs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Núcleo al que pertenece: </w:t>
      </w:r>
      <w:r>
        <w:rPr>
          <w:sz w:val="24"/>
          <w:szCs w:val="24"/>
        </w:rPr>
        <w:t xml:space="preserve">Inicial </w:t>
      </w:r>
      <w:r w:rsidR="00F50A7C">
        <w:rPr>
          <w:sz w:val="24"/>
          <w:szCs w:val="24"/>
        </w:rPr>
        <w:t>Electivo</w:t>
      </w:r>
      <w:bookmarkStart w:id="0" w:name="_Hlk75261189"/>
      <w:r w:rsidR="00F50A7C" w:rsidRPr="006758D2">
        <w:rPr>
          <w:rStyle w:val="Refdenotaalpie"/>
          <w:i/>
          <w:sz w:val="24"/>
          <w:szCs w:val="24"/>
        </w:rPr>
        <w:footnoteReference w:id="1"/>
      </w:r>
      <w:bookmarkEnd w:id="0"/>
    </w:p>
    <w:p w14:paraId="00000006" w14:textId="77777777" w:rsidR="00025CCA" w:rsidRDefault="00647EE4">
      <w:pPr>
        <w:tabs>
          <w:tab w:val="left" w:pos="3518"/>
        </w:tabs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Docentes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Chiaramoni</w:t>
      </w:r>
      <w:proofErr w:type="spellEnd"/>
      <w:r>
        <w:rPr>
          <w:sz w:val="24"/>
          <w:szCs w:val="24"/>
        </w:rPr>
        <w:t xml:space="preserve">, Nadia Silvia; </w:t>
      </w:r>
      <w:proofErr w:type="spellStart"/>
      <w:r>
        <w:rPr>
          <w:sz w:val="24"/>
          <w:szCs w:val="24"/>
        </w:rPr>
        <w:t>Roncaglia</w:t>
      </w:r>
      <w:proofErr w:type="spellEnd"/>
      <w:r>
        <w:rPr>
          <w:sz w:val="24"/>
          <w:szCs w:val="24"/>
        </w:rPr>
        <w:t xml:space="preserve">, Diana Inés; Andreasen, Gustavo Alfredo; Romero, Eder Lilia; Prieto, Jimena; </w:t>
      </w:r>
      <w:proofErr w:type="spellStart"/>
      <w:r>
        <w:rPr>
          <w:sz w:val="24"/>
          <w:szCs w:val="24"/>
        </w:rPr>
        <w:t>Hainich</w:t>
      </w:r>
      <w:proofErr w:type="spellEnd"/>
      <w:r>
        <w:rPr>
          <w:sz w:val="24"/>
          <w:szCs w:val="24"/>
        </w:rPr>
        <w:t xml:space="preserve">, Cristian; Veiga, Luis; </w:t>
      </w:r>
      <w:proofErr w:type="spellStart"/>
      <w:r>
        <w:rPr>
          <w:sz w:val="24"/>
          <w:szCs w:val="24"/>
        </w:rPr>
        <w:t>Abdusetir</w:t>
      </w:r>
      <w:proofErr w:type="spellEnd"/>
      <w:r>
        <w:rPr>
          <w:sz w:val="24"/>
          <w:szCs w:val="24"/>
        </w:rPr>
        <w:t>, Juan.</w:t>
      </w:r>
    </w:p>
    <w:p w14:paraId="00000007" w14:textId="77777777" w:rsidR="00025CCA" w:rsidRDefault="00647EE4">
      <w:pPr>
        <w:tabs>
          <w:tab w:val="left" w:pos="3518"/>
        </w:tabs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Prerrequisitos obligatorios: </w:t>
      </w:r>
      <w:r>
        <w:rPr>
          <w:sz w:val="24"/>
          <w:szCs w:val="24"/>
        </w:rPr>
        <w:t>Química I, Análisis Matemático I</w:t>
      </w:r>
      <w:r>
        <w:rPr>
          <w:sz w:val="24"/>
          <w:szCs w:val="24"/>
        </w:rPr>
        <w:tab/>
      </w:r>
    </w:p>
    <w:p w14:paraId="00000008" w14:textId="77777777" w:rsidR="00025CCA" w:rsidRDefault="00647EE4">
      <w:pPr>
        <w:tabs>
          <w:tab w:val="left" w:pos="3518"/>
        </w:tabs>
        <w:spacing w:before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Prerrequisito recomendado:</w:t>
      </w:r>
      <w:r>
        <w:rPr>
          <w:sz w:val="24"/>
          <w:szCs w:val="24"/>
        </w:rPr>
        <w:t xml:space="preserve"> Taller de Química</w:t>
      </w:r>
    </w:p>
    <w:p w14:paraId="00000009" w14:textId="77777777" w:rsidR="00025CCA" w:rsidRDefault="00025CCA">
      <w:pPr>
        <w:tabs>
          <w:tab w:val="left" w:pos="3518"/>
        </w:tabs>
        <w:spacing w:line="360" w:lineRule="auto"/>
        <w:jc w:val="both"/>
        <w:rPr>
          <w:sz w:val="24"/>
          <w:szCs w:val="24"/>
        </w:rPr>
      </w:pPr>
    </w:p>
    <w:p w14:paraId="0000000A" w14:textId="77777777" w:rsidR="00025CCA" w:rsidRDefault="00647EE4">
      <w:pPr>
        <w:tabs>
          <w:tab w:val="left" w:pos="3738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Objetivos</w:t>
      </w:r>
    </w:p>
    <w:p w14:paraId="0000000B" w14:textId="77777777" w:rsidR="00025CCA" w:rsidRDefault="00647EE4">
      <w:pPr>
        <w:tabs>
          <w:tab w:val="left" w:pos="373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espera que quienes cursen la asignatura logren:</w:t>
      </w:r>
    </w:p>
    <w:p w14:paraId="0000000C" w14:textId="77777777" w:rsidR="00025CCA" w:rsidRDefault="00647EE4">
      <w:pPr>
        <w:numPr>
          <w:ilvl w:val="0"/>
          <w:numId w:val="6"/>
        </w:numPr>
        <w:tabs>
          <w:tab w:val="left" w:pos="373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completar la formación química básica luego de Química I, </w:t>
      </w:r>
    </w:p>
    <w:p w14:paraId="0000000D" w14:textId="77777777" w:rsidR="00025CCA" w:rsidRDefault="00647EE4">
      <w:pPr>
        <w:numPr>
          <w:ilvl w:val="0"/>
          <w:numId w:val="6"/>
        </w:numPr>
        <w:tabs>
          <w:tab w:val="left" w:pos="373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profundizar su formación en las prácticas de laboratorio, tanto desde el punto de vista de su habilidad manual, como para la adquisición de conocimientos del análisis numérico y estadístico de los datos experimentales obtenidos;</w:t>
      </w:r>
    </w:p>
    <w:p w14:paraId="0000000E" w14:textId="77777777" w:rsidR="00025CCA" w:rsidRDefault="00647EE4">
      <w:pPr>
        <w:numPr>
          <w:ilvl w:val="0"/>
          <w:numId w:val="6"/>
        </w:numPr>
        <w:tabs>
          <w:tab w:val="left" w:pos="373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integrar elementos básicos de la llamada Química analítica tradicional con el tratamiento de datos, empleando los programas informáticos y técnicas modernas;</w:t>
      </w:r>
    </w:p>
    <w:p w14:paraId="0000000F" w14:textId="77777777" w:rsidR="00025CCA" w:rsidRDefault="00647EE4">
      <w:pPr>
        <w:numPr>
          <w:ilvl w:val="0"/>
          <w:numId w:val="6"/>
        </w:numPr>
        <w:tabs>
          <w:tab w:val="left" w:pos="373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comprender teorías modernas del enlace químico, </w:t>
      </w:r>
    </w:p>
    <w:p w14:paraId="00000010" w14:textId="77777777" w:rsidR="00025CCA" w:rsidRDefault="00647EE4">
      <w:pPr>
        <w:numPr>
          <w:ilvl w:val="0"/>
          <w:numId w:val="6"/>
        </w:numPr>
        <w:tabs>
          <w:tab w:val="left" w:pos="373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aplicar los conceptos incorporados previamente (estequiometría, equilibrio, electroquímica, etc.) a los grupos de elementos representativos, complejos de metales de transición tipo de enlace y aplicaciones</w:t>
      </w:r>
    </w:p>
    <w:p w14:paraId="00000011" w14:textId="77777777" w:rsidR="00025CCA" w:rsidRDefault="00647EE4">
      <w:pPr>
        <w:numPr>
          <w:ilvl w:val="0"/>
          <w:numId w:val="6"/>
        </w:numPr>
        <w:tabs>
          <w:tab w:val="left" w:pos="373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adquirir conocimientos básicos de radioquímica y saber aplicarlos en problemas sencillos.</w:t>
      </w:r>
    </w:p>
    <w:p w14:paraId="00000012" w14:textId="77777777" w:rsidR="00025CCA" w:rsidRDefault="00025CCA">
      <w:pPr>
        <w:tabs>
          <w:tab w:val="left" w:pos="3738"/>
        </w:tabs>
        <w:spacing w:line="360" w:lineRule="auto"/>
        <w:jc w:val="both"/>
        <w:rPr>
          <w:sz w:val="24"/>
          <w:szCs w:val="24"/>
        </w:rPr>
      </w:pPr>
    </w:p>
    <w:p w14:paraId="00000013" w14:textId="77777777" w:rsidR="00025CCA" w:rsidRDefault="00647EE4">
      <w:pPr>
        <w:widowControl w:val="0"/>
        <w:spacing w:line="360" w:lineRule="auto"/>
        <w:ind w:right="89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>Contenidos mínimos</w:t>
      </w:r>
    </w:p>
    <w:p w14:paraId="00000014" w14:textId="77777777" w:rsidR="00025CCA" w:rsidRDefault="00647EE4">
      <w:pPr>
        <w:widowControl w:val="0"/>
        <w:spacing w:line="360" w:lineRule="auto"/>
        <w:ind w:right="8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Equilibrios en solución acuosa: equilibrio ácido-base, de precipitación, óxido reducción y formación de complejos. Sus aplicaciones en química analítica: métodos volumétricos y gravimétricos. Química de no metales, metales de transición y coordinación. Química nuclear.</w:t>
      </w:r>
    </w:p>
    <w:p w14:paraId="00000015" w14:textId="77777777" w:rsidR="00025CCA" w:rsidRDefault="00025CCA">
      <w:pPr>
        <w:tabs>
          <w:tab w:val="left" w:pos="3518"/>
        </w:tabs>
        <w:spacing w:line="360" w:lineRule="auto"/>
        <w:jc w:val="both"/>
        <w:rPr>
          <w:b/>
          <w:sz w:val="24"/>
          <w:szCs w:val="24"/>
        </w:rPr>
      </w:pPr>
    </w:p>
    <w:p w14:paraId="00000016" w14:textId="29330667" w:rsidR="00025CCA" w:rsidRDefault="00647EE4">
      <w:pPr>
        <w:tabs>
          <w:tab w:val="left" w:pos="3518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Carga horaria: </w:t>
      </w:r>
      <w:r>
        <w:rPr>
          <w:sz w:val="24"/>
          <w:szCs w:val="24"/>
        </w:rPr>
        <w:t>7 horas semanales</w:t>
      </w:r>
    </w:p>
    <w:p w14:paraId="00000017" w14:textId="77777777" w:rsidR="00025CCA" w:rsidRDefault="00025CCA">
      <w:pPr>
        <w:spacing w:line="360" w:lineRule="auto"/>
        <w:jc w:val="both"/>
        <w:rPr>
          <w:sz w:val="24"/>
          <w:szCs w:val="24"/>
        </w:rPr>
      </w:pPr>
    </w:p>
    <w:p w14:paraId="00000018" w14:textId="77777777" w:rsidR="00025CCA" w:rsidRDefault="00647EE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Programa analítico</w:t>
      </w:r>
    </w:p>
    <w:p w14:paraId="00000019" w14:textId="77777777" w:rsidR="00025CCA" w:rsidRDefault="00025CCA">
      <w:pPr>
        <w:spacing w:line="360" w:lineRule="auto"/>
        <w:jc w:val="both"/>
        <w:rPr>
          <w:b/>
          <w:sz w:val="24"/>
          <w:szCs w:val="24"/>
        </w:rPr>
      </w:pPr>
    </w:p>
    <w:p w14:paraId="0000001A" w14:textId="77777777" w:rsidR="00025CCA" w:rsidRDefault="00647EE4">
      <w:pPr>
        <w:pStyle w:val="Ttulo2"/>
        <w:spacing w:before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Unidad 1: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Propiedades generales de los ácidos y bases.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Naturaleza de los ácidos y las bases. Concepto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Bronsted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-Lowry. Pares ácido-base conjugados. Disociación del agua y la escala de pH. Ácidos fuertes y débiles. La estructura molecular y la fuerza de los ácidos. Bases fuertes y débiles. Carácter ácido- base y la estructura química.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Oxidos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ácidos, básicos y anfóteros.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Acidos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 bases de Lewis.</w:t>
      </w:r>
    </w:p>
    <w:p w14:paraId="0000001B" w14:textId="77777777" w:rsidR="00025CCA" w:rsidRDefault="00025CCA">
      <w:pPr>
        <w:spacing w:line="360" w:lineRule="auto"/>
        <w:jc w:val="both"/>
        <w:rPr>
          <w:sz w:val="24"/>
          <w:szCs w:val="24"/>
        </w:rPr>
      </w:pPr>
    </w:p>
    <w:p w14:paraId="0000001C" w14:textId="77777777" w:rsidR="00025CCA" w:rsidRDefault="00647EE4">
      <w:pPr>
        <w:pStyle w:val="Ttulo2"/>
        <w:spacing w:before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Unidad 2: Equilibrios en solución acuosa y volumetría ácido- base.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Ácidos débiles y constante de disociación. Bases débiles y constante de disociación.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Acidos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diproticos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polipróticos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Valoración de ácidos mono 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polipróticos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Propiedades ácido – base de las sales. Hidrólisis. Efecto del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ión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común. Soluciones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amortIguadoras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 buffer: preparación y capacidad reguladora. Titulaciones. Elección de indicadores. Curvas de titulación. Fuentes de error. </w:t>
      </w:r>
    </w:p>
    <w:p w14:paraId="0000001D" w14:textId="77777777" w:rsidR="00025CCA" w:rsidRDefault="00025CCA">
      <w:pPr>
        <w:spacing w:line="360" w:lineRule="auto"/>
        <w:jc w:val="both"/>
        <w:rPr>
          <w:sz w:val="24"/>
          <w:szCs w:val="24"/>
        </w:rPr>
      </w:pPr>
    </w:p>
    <w:p w14:paraId="0000001E" w14:textId="77777777" w:rsidR="00025CCA" w:rsidRDefault="00647EE4">
      <w:pPr>
        <w:pStyle w:val="Ttulo2"/>
        <w:spacing w:before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Unidad 3: Equilibrios de solubilidad y volumetría de precipitación.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La solubilidad y el producto de solubilidad. La constante del producto de solubilidad. Precipitación selectiva de iones. Solubilidad y pH. Efecto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ión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común. Aplicación del producto de solubilidad al análisis cualitativo. Efecto de la formación de complejos sobre la solubilidad. Volumetría de precipitación. Argentometría. </w:t>
      </w:r>
    </w:p>
    <w:p w14:paraId="0000001F" w14:textId="77777777" w:rsidR="00025CCA" w:rsidRDefault="00025CCA">
      <w:pPr>
        <w:spacing w:line="360" w:lineRule="auto"/>
        <w:jc w:val="both"/>
        <w:rPr>
          <w:sz w:val="24"/>
          <w:szCs w:val="24"/>
        </w:rPr>
      </w:pPr>
    </w:p>
    <w:p w14:paraId="00000020" w14:textId="77777777" w:rsidR="00025CCA" w:rsidRDefault="00647E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 xml:space="preserve">Unidad 4: Equilibrio y volumetría redox. </w:t>
      </w:r>
      <w:r>
        <w:rPr>
          <w:rFonts w:eastAsia="Arial"/>
          <w:color w:val="000000"/>
          <w:sz w:val="24"/>
          <w:szCs w:val="24"/>
        </w:rPr>
        <w:t xml:space="preserve">Las reacciones de óxido- reducción. Potencial de electrodo. La ecuación de </w:t>
      </w:r>
      <w:proofErr w:type="spellStart"/>
      <w:r>
        <w:rPr>
          <w:rFonts w:eastAsia="Arial"/>
          <w:color w:val="000000"/>
          <w:sz w:val="24"/>
          <w:szCs w:val="24"/>
        </w:rPr>
        <w:t>Nerst</w:t>
      </w:r>
      <w:proofErr w:type="spellEnd"/>
      <w:r>
        <w:rPr>
          <w:rFonts w:eastAsia="Arial"/>
          <w:color w:val="000000"/>
          <w:sz w:val="24"/>
          <w:szCs w:val="24"/>
        </w:rPr>
        <w:t xml:space="preserve">. Espontaneidad de las reacciones. Pilas. Influencia del pH, agentes precipitantes y complejantes. Valoraciones </w:t>
      </w:r>
      <w:r>
        <w:rPr>
          <w:rFonts w:eastAsia="Arial"/>
          <w:color w:val="000000"/>
          <w:sz w:val="24"/>
          <w:szCs w:val="24"/>
        </w:rPr>
        <w:lastRenderedPageBreak/>
        <w:t xml:space="preserve">redox. Curvas de titulación. Punto final. Indicadores. </w:t>
      </w:r>
      <w:proofErr w:type="spellStart"/>
      <w:r>
        <w:rPr>
          <w:rFonts w:eastAsia="Arial"/>
          <w:color w:val="000000"/>
          <w:sz w:val="24"/>
          <w:szCs w:val="24"/>
        </w:rPr>
        <w:t>Permanganimetría</w:t>
      </w:r>
      <w:proofErr w:type="spellEnd"/>
      <w:r>
        <w:rPr>
          <w:rFonts w:eastAsia="Arial"/>
          <w:color w:val="000000"/>
          <w:sz w:val="24"/>
          <w:szCs w:val="24"/>
        </w:rPr>
        <w:t xml:space="preserve">, </w:t>
      </w:r>
      <w:proofErr w:type="spellStart"/>
      <w:r>
        <w:rPr>
          <w:rFonts w:eastAsia="Arial"/>
          <w:color w:val="000000"/>
          <w:sz w:val="24"/>
          <w:szCs w:val="24"/>
        </w:rPr>
        <w:t>iodometría</w:t>
      </w:r>
      <w:proofErr w:type="spellEnd"/>
      <w:r>
        <w:rPr>
          <w:rFonts w:eastAsia="Arial"/>
          <w:color w:val="000000"/>
          <w:sz w:val="24"/>
          <w:szCs w:val="24"/>
        </w:rPr>
        <w:t xml:space="preserve">. </w:t>
      </w:r>
    </w:p>
    <w:p w14:paraId="00000021" w14:textId="77777777" w:rsidR="00025CCA" w:rsidRDefault="00025CCA">
      <w:pPr>
        <w:pStyle w:val="Ttulo2"/>
        <w:spacing w:before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2" w14:textId="77777777" w:rsidR="00025CCA" w:rsidRDefault="00647EE4">
      <w:pPr>
        <w:pStyle w:val="Ttulo2"/>
        <w:spacing w:before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Unidad 5: Estructura molecular.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Modelo de repulsión del par electrónico del nivel de valencia. Momentos dipolares. Teoría de enlaces de valencia. Orbitales híbridos (TEV). Enlaces múltiples. Descripción por orbitales moleculares (OM).</w:t>
      </w:r>
    </w:p>
    <w:p w14:paraId="00000023" w14:textId="77777777" w:rsidR="00025CCA" w:rsidRDefault="00025CCA">
      <w:pPr>
        <w:spacing w:line="360" w:lineRule="auto"/>
        <w:jc w:val="both"/>
        <w:rPr>
          <w:sz w:val="24"/>
          <w:szCs w:val="24"/>
        </w:rPr>
      </w:pPr>
    </w:p>
    <w:p w14:paraId="00000024" w14:textId="77777777" w:rsidR="00025CCA" w:rsidRDefault="00647EE4">
      <w:pPr>
        <w:pStyle w:val="Ttulo2"/>
        <w:spacing w:before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Unidad 6: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Química nuclear.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Reacciones nucleares. Radiactividad. Tipos de desintegración radiactiva. Estabilidad nuclear. Series radiactivas. Fisión y fusión. Cinética de desintegración. Período de semidesintegración. Cálculos. </w:t>
      </w:r>
    </w:p>
    <w:p w14:paraId="00000025" w14:textId="77777777" w:rsidR="00025CCA" w:rsidRDefault="00025C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14:paraId="00000026" w14:textId="77777777" w:rsidR="00025CCA" w:rsidRDefault="00647EE4">
      <w:pP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Unidad 7: Química de los no metales (Hidrógeno, oxígeno, carbono y nitrógeno). </w:t>
      </w:r>
      <w:r>
        <w:rPr>
          <w:rFonts w:eastAsia="Arial"/>
          <w:color w:val="000000"/>
          <w:sz w:val="24"/>
          <w:szCs w:val="24"/>
        </w:rPr>
        <w:t>Su ubicación en la clasificación periódica. Tendencias periódicas. Reacciones químicas características. Principales compuestos. Obtención y propiedades: Hidrógeno, oxígeno, nitrógeno, carbono.  Estudio individual y comparativo.</w:t>
      </w:r>
    </w:p>
    <w:p w14:paraId="00000027" w14:textId="77777777" w:rsidR="00025CCA" w:rsidRDefault="00025CCA">
      <w:pPr>
        <w:spacing w:line="360" w:lineRule="auto"/>
        <w:jc w:val="both"/>
        <w:rPr>
          <w:b/>
          <w:sz w:val="24"/>
          <w:szCs w:val="24"/>
        </w:rPr>
      </w:pPr>
    </w:p>
    <w:p w14:paraId="00000028" w14:textId="77777777" w:rsidR="00025CCA" w:rsidRDefault="00647EE4">
      <w:pP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Unidad 8: Química de los no metales (Boro, silicio, azufre, fósforo, halógenos y gases nobles). </w:t>
      </w:r>
      <w:r>
        <w:rPr>
          <w:rFonts w:eastAsia="Arial"/>
          <w:color w:val="000000"/>
          <w:sz w:val="24"/>
          <w:szCs w:val="24"/>
        </w:rPr>
        <w:t>Su ubicación en la clasificación periódica. Reacciones químicas características. Principales compuestos. Obtención y propiedades: Boro. Silicio y silicatos. Azufre, selenio y teluro. Fósforo y arsénico. Halógenos. Gases inertes. Estudio individual y comparativo.</w:t>
      </w:r>
    </w:p>
    <w:p w14:paraId="00000029" w14:textId="77777777" w:rsidR="00025CCA" w:rsidRDefault="00025C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b/>
          <w:color w:val="000000"/>
          <w:sz w:val="24"/>
          <w:szCs w:val="24"/>
        </w:rPr>
      </w:pPr>
    </w:p>
    <w:p w14:paraId="0000002A" w14:textId="77777777" w:rsidR="00025CCA" w:rsidRDefault="00647E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 xml:space="preserve">Unidad 9: Química de los metales de transición y los compuestos de coordinación. </w:t>
      </w:r>
      <w:r>
        <w:rPr>
          <w:rFonts w:eastAsia="Arial"/>
          <w:color w:val="000000"/>
          <w:sz w:val="24"/>
          <w:szCs w:val="24"/>
        </w:rPr>
        <w:t xml:space="preserve">Propiedades de los metales de transición. Configuraciones electrónicas. Formación de iones complejos. Compuestos de coordinación. Estructura de los complejos. Cargas, números de coordinación, geometría. Nomenclatura. Isomería estructural, </w:t>
      </w:r>
      <w:proofErr w:type="spellStart"/>
      <w:r>
        <w:rPr>
          <w:rFonts w:eastAsia="Arial"/>
          <w:color w:val="000000"/>
          <w:sz w:val="24"/>
          <w:szCs w:val="24"/>
        </w:rPr>
        <w:t>estereoisomería</w:t>
      </w:r>
      <w:proofErr w:type="spellEnd"/>
      <w:r>
        <w:rPr>
          <w:rFonts w:eastAsia="Arial"/>
          <w:color w:val="000000"/>
          <w:sz w:val="24"/>
          <w:szCs w:val="24"/>
        </w:rPr>
        <w:t xml:space="preserve">. Teoría del campo cristalino. Configuración electrónica en los complejos octaédricos, tetraédricos y cuadrado planos. Equilibrio de </w:t>
      </w:r>
      <w:proofErr w:type="spellStart"/>
      <w:r>
        <w:rPr>
          <w:rFonts w:eastAsia="Arial"/>
          <w:color w:val="000000"/>
          <w:sz w:val="24"/>
          <w:szCs w:val="24"/>
        </w:rPr>
        <w:t>complejación</w:t>
      </w:r>
      <w:proofErr w:type="spellEnd"/>
      <w:r>
        <w:rPr>
          <w:rFonts w:eastAsia="Arial"/>
          <w:color w:val="000000"/>
          <w:sz w:val="24"/>
          <w:szCs w:val="24"/>
        </w:rPr>
        <w:t xml:space="preserve">. Constantes parciales y globales. Estabilidad de los iones complejos. </w:t>
      </w:r>
      <w:proofErr w:type="spellStart"/>
      <w:r>
        <w:rPr>
          <w:rFonts w:eastAsia="Arial"/>
          <w:color w:val="000000"/>
          <w:sz w:val="24"/>
          <w:szCs w:val="24"/>
        </w:rPr>
        <w:t>Quelatometría</w:t>
      </w:r>
      <w:proofErr w:type="spellEnd"/>
      <w:r>
        <w:rPr>
          <w:rFonts w:eastAsia="Arial"/>
          <w:color w:val="000000"/>
          <w:sz w:val="24"/>
          <w:szCs w:val="24"/>
        </w:rPr>
        <w:t>.</w:t>
      </w:r>
    </w:p>
    <w:p w14:paraId="0000002B" w14:textId="77777777" w:rsidR="00025CCA" w:rsidRDefault="00025CCA">
      <w:pPr>
        <w:spacing w:line="360" w:lineRule="auto"/>
        <w:jc w:val="both"/>
        <w:rPr>
          <w:b/>
          <w:sz w:val="24"/>
          <w:szCs w:val="24"/>
        </w:rPr>
      </w:pPr>
    </w:p>
    <w:p w14:paraId="0000002C" w14:textId="77777777" w:rsidR="00025CCA" w:rsidRDefault="00647EE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Trabajos prácticos de laboratorio</w:t>
      </w:r>
    </w:p>
    <w:p w14:paraId="0000002D" w14:textId="77777777" w:rsidR="00025CCA" w:rsidRDefault="00025CCA">
      <w:pPr>
        <w:spacing w:line="360" w:lineRule="auto"/>
        <w:jc w:val="both"/>
        <w:rPr>
          <w:b/>
          <w:color w:val="222222"/>
          <w:sz w:val="24"/>
          <w:szCs w:val="24"/>
          <w:highlight w:val="white"/>
        </w:rPr>
      </w:pPr>
    </w:p>
    <w:p w14:paraId="0000002E" w14:textId="77777777" w:rsidR="00025CCA" w:rsidRDefault="00647EE4">
      <w:pPr>
        <w:spacing w:line="360" w:lineRule="auto"/>
        <w:jc w:val="both"/>
        <w:rPr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lastRenderedPageBreak/>
        <w:t xml:space="preserve">TP N°1: Volumetría ácido base. </w:t>
      </w:r>
      <w:r>
        <w:rPr>
          <w:color w:val="222222"/>
          <w:sz w:val="24"/>
          <w:szCs w:val="24"/>
          <w:highlight w:val="white"/>
        </w:rPr>
        <w:t>Determinar la acidez de una muestra de vinagre comercial mediante volumetría ácido base. Estandarización de soluciones utilizando patrones primarios y secundarios.</w:t>
      </w:r>
    </w:p>
    <w:p w14:paraId="0000002F" w14:textId="77777777" w:rsidR="00025CCA" w:rsidRDefault="00025CCA">
      <w:pPr>
        <w:spacing w:line="360" w:lineRule="auto"/>
        <w:jc w:val="both"/>
        <w:rPr>
          <w:b/>
          <w:color w:val="222222"/>
          <w:sz w:val="24"/>
          <w:szCs w:val="24"/>
          <w:highlight w:val="white"/>
        </w:rPr>
      </w:pPr>
    </w:p>
    <w:p w14:paraId="00000030" w14:textId="77777777" w:rsidR="00025CCA" w:rsidRDefault="00647EE4">
      <w:pPr>
        <w:spacing w:line="360" w:lineRule="auto"/>
        <w:jc w:val="both"/>
        <w:rPr>
          <w:sz w:val="24"/>
          <w:szCs w:val="24"/>
        </w:rPr>
      </w:pPr>
      <w:r>
        <w:rPr>
          <w:b/>
          <w:color w:val="222222"/>
          <w:sz w:val="24"/>
          <w:szCs w:val="24"/>
          <w:highlight w:val="white"/>
        </w:rPr>
        <w:t xml:space="preserve">TP N°2: Preparación de soluciones </w:t>
      </w:r>
      <w:r>
        <w:rPr>
          <w:b/>
          <w:i/>
          <w:color w:val="222222"/>
          <w:sz w:val="24"/>
          <w:szCs w:val="24"/>
          <w:highlight w:val="white"/>
        </w:rPr>
        <w:t>buffer</w:t>
      </w:r>
      <w:r>
        <w:rPr>
          <w:b/>
          <w:color w:val="222222"/>
          <w:sz w:val="24"/>
          <w:szCs w:val="24"/>
          <w:highlight w:val="white"/>
        </w:rPr>
        <w:t xml:space="preserve">. </w:t>
      </w:r>
      <w:r>
        <w:rPr>
          <w:color w:val="222222"/>
          <w:sz w:val="24"/>
          <w:szCs w:val="24"/>
          <w:highlight w:val="white"/>
        </w:rPr>
        <w:t xml:space="preserve">Aprender a preparar una solución </w:t>
      </w:r>
      <w:r>
        <w:rPr>
          <w:i/>
          <w:color w:val="222222"/>
          <w:sz w:val="24"/>
          <w:szCs w:val="24"/>
          <w:highlight w:val="white"/>
        </w:rPr>
        <w:t>buffer</w:t>
      </w:r>
      <w:r>
        <w:rPr>
          <w:color w:val="222222"/>
          <w:sz w:val="24"/>
          <w:szCs w:val="24"/>
          <w:highlight w:val="white"/>
        </w:rPr>
        <w:t xml:space="preserve"> de un pH determinado, sabiendo elegir los pares conjugados. Comprobar la capacidad reguladora de las soluciones buffer. Aprender a utilizar el pH metro.</w:t>
      </w:r>
    </w:p>
    <w:p w14:paraId="00000031" w14:textId="77777777" w:rsidR="00025CCA" w:rsidRDefault="00025CCA">
      <w:pPr>
        <w:spacing w:line="360" w:lineRule="auto"/>
        <w:jc w:val="both"/>
        <w:rPr>
          <w:sz w:val="24"/>
          <w:szCs w:val="24"/>
        </w:rPr>
      </w:pPr>
    </w:p>
    <w:p w14:paraId="00000032" w14:textId="77777777" w:rsidR="00025CCA" w:rsidRDefault="00647EE4">
      <w:pPr>
        <w:spacing w:line="360" w:lineRule="auto"/>
        <w:jc w:val="both"/>
        <w:rPr>
          <w:sz w:val="24"/>
          <w:szCs w:val="24"/>
        </w:rPr>
      </w:pPr>
      <w:r>
        <w:rPr>
          <w:b/>
          <w:color w:val="222222"/>
          <w:sz w:val="24"/>
          <w:szCs w:val="24"/>
          <w:highlight w:val="white"/>
        </w:rPr>
        <w:t xml:space="preserve">TP N°3: Curvas de titulación ácido base. </w:t>
      </w:r>
      <w:r>
        <w:rPr>
          <w:color w:val="222222"/>
          <w:sz w:val="24"/>
          <w:szCs w:val="24"/>
          <w:highlight w:val="white"/>
        </w:rPr>
        <w:t>Realizar curvas de titulación de ácidos o bases débiles. Reconocer las distintas zonas en dicha curva. Usar correctamente los indicadores de pH.</w:t>
      </w:r>
    </w:p>
    <w:p w14:paraId="00000033" w14:textId="77777777" w:rsidR="00025CCA" w:rsidRDefault="00025CCA">
      <w:pPr>
        <w:spacing w:line="360" w:lineRule="auto"/>
        <w:jc w:val="both"/>
        <w:rPr>
          <w:sz w:val="24"/>
          <w:szCs w:val="24"/>
        </w:rPr>
      </w:pPr>
    </w:p>
    <w:p w14:paraId="00000034" w14:textId="77777777" w:rsidR="00025CCA" w:rsidRDefault="00647EE4">
      <w:pPr>
        <w:spacing w:line="360" w:lineRule="auto"/>
        <w:jc w:val="both"/>
        <w:rPr>
          <w:sz w:val="24"/>
          <w:szCs w:val="24"/>
        </w:rPr>
      </w:pPr>
      <w:r>
        <w:rPr>
          <w:b/>
          <w:color w:val="222222"/>
          <w:sz w:val="24"/>
          <w:szCs w:val="24"/>
          <w:highlight w:val="white"/>
        </w:rPr>
        <w:t xml:space="preserve">TP N°4: Volumetría de precipitación. </w:t>
      </w:r>
      <w:r>
        <w:rPr>
          <w:color w:val="222222"/>
          <w:sz w:val="24"/>
          <w:szCs w:val="24"/>
          <w:highlight w:val="white"/>
        </w:rPr>
        <w:t>Determinación de haluros. Emplear diferentes técnicas de volumetría de precipitación en la determinación de cloruros. Aplicando las técnicas aprendidas, comprobar la pureza de una muestra de sal de mesa.</w:t>
      </w:r>
    </w:p>
    <w:p w14:paraId="00000035" w14:textId="77777777" w:rsidR="00025CCA" w:rsidRDefault="00025CCA">
      <w:pPr>
        <w:spacing w:line="360" w:lineRule="auto"/>
        <w:jc w:val="both"/>
        <w:rPr>
          <w:sz w:val="24"/>
          <w:szCs w:val="24"/>
        </w:rPr>
      </w:pPr>
    </w:p>
    <w:p w14:paraId="00000036" w14:textId="77777777" w:rsidR="00025CCA" w:rsidRDefault="00647EE4">
      <w:pPr>
        <w:spacing w:line="360" w:lineRule="auto"/>
        <w:jc w:val="both"/>
        <w:rPr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 xml:space="preserve">TP N°5: Equilibrio REDOX; Reacciones REDOX y Pilas. </w:t>
      </w:r>
      <w:r>
        <w:rPr>
          <w:color w:val="222222"/>
          <w:sz w:val="24"/>
          <w:szCs w:val="24"/>
          <w:highlight w:val="white"/>
        </w:rPr>
        <w:t>Mediante volumetría Redox determinar cloro activo en una muestra de lavandina. Estudiar reacciones Redox en tubo de ensayo.</w:t>
      </w:r>
      <w:r>
        <w:rPr>
          <w:b/>
          <w:color w:val="222222"/>
          <w:sz w:val="24"/>
          <w:szCs w:val="24"/>
          <w:highlight w:val="white"/>
        </w:rPr>
        <w:t xml:space="preserve"> </w:t>
      </w:r>
      <w:r>
        <w:rPr>
          <w:color w:val="222222"/>
          <w:sz w:val="24"/>
          <w:szCs w:val="24"/>
          <w:highlight w:val="white"/>
        </w:rPr>
        <w:t>Armar celdas galvánicas de diferentes tipos. Medir la diferencia de potencial generada en los modelos experimentales y compararla con los datos teóricos.</w:t>
      </w:r>
    </w:p>
    <w:p w14:paraId="00000037" w14:textId="77777777" w:rsidR="00025CCA" w:rsidRDefault="00025CCA">
      <w:pPr>
        <w:spacing w:line="360" w:lineRule="auto"/>
        <w:jc w:val="both"/>
        <w:rPr>
          <w:sz w:val="24"/>
          <w:szCs w:val="24"/>
        </w:rPr>
      </w:pPr>
    </w:p>
    <w:p w14:paraId="00000038" w14:textId="77777777" w:rsidR="00025CCA" w:rsidRDefault="00647EE4">
      <w:pPr>
        <w:spacing w:line="360" w:lineRule="auto"/>
        <w:jc w:val="both"/>
        <w:rPr>
          <w:sz w:val="24"/>
          <w:szCs w:val="24"/>
        </w:rPr>
      </w:pPr>
      <w:r>
        <w:rPr>
          <w:b/>
          <w:color w:val="222222"/>
          <w:sz w:val="24"/>
          <w:szCs w:val="24"/>
          <w:highlight w:val="white"/>
        </w:rPr>
        <w:t xml:space="preserve">TP N°6: Química del Carbono, Hidrógeno y Oxígeno. </w:t>
      </w:r>
      <w:r>
        <w:rPr>
          <w:color w:val="222222"/>
          <w:sz w:val="24"/>
          <w:szCs w:val="24"/>
          <w:highlight w:val="white"/>
        </w:rPr>
        <w:t>Generación de hidrógeno gaseoso mediante reacciones Redox en tubos de ensayo. Caracterización de una solución de peróxido de hidrógeno. Determinación de su concentración y ensayo de su capacidad oxidante y reductora.</w:t>
      </w:r>
      <w:r>
        <w:rPr>
          <w:b/>
          <w:color w:val="222222"/>
          <w:sz w:val="24"/>
          <w:szCs w:val="24"/>
          <w:highlight w:val="white"/>
        </w:rPr>
        <w:t xml:space="preserve"> </w:t>
      </w:r>
      <w:r>
        <w:rPr>
          <w:color w:val="222222"/>
          <w:sz w:val="24"/>
          <w:szCs w:val="24"/>
          <w:highlight w:val="white"/>
        </w:rPr>
        <w:t>Generación de gas dióxido de carbono mediante reacciones Redox. Análisis mediante reactividad ácida luego de burbujeo en agua destilada.</w:t>
      </w:r>
    </w:p>
    <w:p w14:paraId="00000039" w14:textId="77777777" w:rsidR="00025CCA" w:rsidRDefault="00025CCA">
      <w:pPr>
        <w:spacing w:line="360" w:lineRule="auto"/>
        <w:rPr>
          <w:sz w:val="24"/>
          <w:szCs w:val="24"/>
        </w:rPr>
      </w:pPr>
    </w:p>
    <w:p w14:paraId="0000003A" w14:textId="77777777" w:rsidR="00025CCA" w:rsidRDefault="00647EE4">
      <w:pPr>
        <w:spacing w:line="360" w:lineRule="auto"/>
        <w:jc w:val="both"/>
        <w:rPr>
          <w:sz w:val="24"/>
          <w:szCs w:val="24"/>
        </w:rPr>
      </w:pPr>
      <w:r>
        <w:rPr>
          <w:b/>
          <w:color w:val="222222"/>
          <w:sz w:val="24"/>
          <w:szCs w:val="24"/>
          <w:highlight w:val="white"/>
        </w:rPr>
        <w:t xml:space="preserve">TP N°7: Química del Nitrógeno, Azufre y Halógenos. </w:t>
      </w:r>
      <w:r>
        <w:rPr>
          <w:color w:val="222222"/>
          <w:sz w:val="24"/>
          <w:szCs w:val="24"/>
          <w:highlight w:val="white"/>
        </w:rPr>
        <w:t xml:space="preserve">Generación de diferentes gases nitrogenados mediante reducción del ácido nítrico. Reacciones de desplazamiento de compuestos con azufre y halógenos. Análisis del carácter </w:t>
      </w:r>
      <w:r>
        <w:rPr>
          <w:color w:val="222222"/>
          <w:sz w:val="24"/>
          <w:szCs w:val="24"/>
          <w:highlight w:val="white"/>
        </w:rPr>
        <w:lastRenderedPageBreak/>
        <w:t>reductor del sulfito. Caracterización de agua de cloro. Obtención de HCl y análisis de su acidez. Generación de cristales de Iodo y análisis de solubilidad.</w:t>
      </w:r>
    </w:p>
    <w:p w14:paraId="0000003B" w14:textId="77777777" w:rsidR="00025CCA" w:rsidRDefault="00025CCA">
      <w:pPr>
        <w:spacing w:line="360" w:lineRule="auto"/>
        <w:jc w:val="both"/>
        <w:rPr>
          <w:sz w:val="24"/>
          <w:szCs w:val="24"/>
        </w:rPr>
      </w:pPr>
    </w:p>
    <w:p w14:paraId="0000003C" w14:textId="77777777" w:rsidR="00025CCA" w:rsidRDefault="00647EE4">
      <w:pPr>
        <w:spacing w:line="360" w:lineRule="auto"/>
        <w:jc w:val="both"/>
        <w:rPr>
          <w:sz w:val="24"/>
          <w:szCs w:val="24"/>
        </w:rPr>
      </w:pPr>
      <w:r>
        <w:rPr>
          <w:b/>
          <w:color w:val="222222"/>
          <w:sz w:val="24"/>
          <w:szCs w:val="24"/>
          <w:highlight w:val="white"/>
        </w:rPr>
        <w:t>TP N°8: Química de los iones complejos.</w:t>
      </w:r>
      <w:r>
        <w:rPr>
          <w:color w:val="222222"/>
          <w:sz w:val="24"/>
          <w:szCs w:val="24"/>
          <w:highlight w:val="white"/>
        </w:rPr>
        <w:t xml:space="preserve"> Reacciones de formación de complejos. Desplazamiento de ligandos. Observación de color y análisis mediante espectroscopía UV-visible. Aplicación de una técnica colorimétrica para determinar la estequiometría de formación de un complejo.</w:t>
      </w:r>
    </w:p>
    <w:p w14:paraId="0000003D" w14:textId="77777777" w:rsidR="00025CCA" w:rsidRDefault="00025CCA">
      <w:pPr>
        <w:spacing w:line="360" w:lineRule="auto"/>
        <w:jc w:val="both"/>
        <w:rPr>
          <w:sz w:val="24"/>
          <w:szCs w:val="24"/>
        </w:rPr>
      </w:pPr>
    </w:p>
    <w:p w14:paraId="0000003E" w14:textId="77777777" w:rsidR="00025CCA" w:rsidRDefault="00647EE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color w:val="222222"/>
          <w:sz w:val="24"/>
          <w:szCs w:val="24"/>
          <w:highlight w:val="white"/>
        </w:rPr>
        <w:t xml:space="preserve">TP N°9: Volumetría de complejos. </w:t>
      </w:r>
      <w:r>
        <w:rPr>
          <w:color w:val="222222"/>
          <w:sz w:val="24"/>
          <w:szCs w:val="24"/>
          <w:highlight w:val="white"/>
        </w:rPr>
        <w:t xml:space="preserve">Determinar dureza cálcica y total de una muestra de agua potable mediante </w:t>
      </w:r>
      <w:proofErr w:type="spellStart"/>
      <w:r>
        <w:rPr>
          <w:color w:val="222222"/>
          <w:sz w:val="24"/>
          <w:szCs w:val="24"/>
          <w:highlight w:val="white"/>
        </w:rPr>
        <w:t>complejometría</w:t>
      </w:r>
      <w:proofErr w:type="spellEnd"/>
      <w:r>
        <w:rPr>
          <w:color w:val="222222"/>
          <w:sz w:val="24"/>
          <w:szCs w:val="24"/>
          <w:highlight w:val="white"/>
        </w:rPr>
        <w:t>.</w:t>
      </w:r>
    </w:p>
    <w:p w14:paraId="0000003F" w14:textId="77777777" w:rsidR="00025CCA" w:rsidRDefault="00025CCA">
      <w:pPr>
        <w:spacing w:line="360" w:lineRule="auto"/>
        <w:jc w:val="both"/>
        <w:rPr>
          <w:b/>
          <w:sz w:val="24"/>
          <w:szCs w:val="24"/>
        </w:rPr>
      </w:pPr>
    </w:p>
    <w:p w14:paraId="00000040" w14:textId="77777777" w:rsidR="00025CCA" w:rsidRDefault="00647EE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Bibliografía</w:t>
      </w:r>
    </w:p>
    <w:p w14:paraId="00000041" w14:textId="77777777" w:rsidR="00025CCA" w:rsidRDefault="00647E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Química General</w:t>
      </w:r>
    </w:p>
    <w:p w14:paraId="00000042" w14:textId="77777777" w:rsidR="00025CCA" w:rsidRDefault="00647EE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Química, La Ciencia Central, </w:t>
      </w:r>
      <w:r>
        <w:rPr>
          <w:sz w:val="24"/>
          <w:szCs w:val="24"/>
        </w:rPr>
        <w:t xml:space="preserve">Brown T. L., </w:t>
      </w:r>
      <w:proofErr w:type="spellStart"/>
      <w:r>
        <w:rPr>
          <w:sz w:val="24"/>
          <w:szCs w:val="24"/>
        </w:rPr>
        <w:t>LeMay</w:t>
      </w:r>
      <w:proofErr w:type="spellEnd"/>
      <w:r>
        <w:rPr>
          <w:sz w:val="24"/>
          <w:szCs w:val="24"/>
        </w:rPr>
        <w:t xml:space="preserve"> H. E. </w:t>
      </w:r>
      <w:proofErr w:type="spellStart"/>
      <w:r>
        <w:rPr>
          <w:sz w:val="24"/>
          <w:szCs w:val="24"/>
        </w:rPr>
        <w:t>Jr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Burnsten</w:t>
      </w:r>
      <w:proofErr w:type="spellEnd"/>
      <w:r>
        <w:rPr>
          <w:sz w:val="24"/>
          <w:szCs w:val="24"/>
        </w:rPr>
        <w:t xml:space="preserve"> B. E., Ed. Pearson Educación. 9ª Edición: 2004.</w:t>
      </w:r>
    </w:p>
    <w:p w14:paraId="00000043" w14:textId="77777777" w:rsidR="00025CCA" w:rsidRDefault="00647EE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Química universitaria. </w:t>
      </w:r>
      <w:proofErr w:type="spellStart"/>
      <w:r>
        <w:rPr>
          <w:sz w:val="24"/>
          <w:szCs w:val="24"/>
        </w:rPr>
        <w:t>Garritz</w:t>
      </w:r>
      <w:proofErr w:type="spellEnd"/>
      <w:r>
        <w:rPr>
          <w:sz w:val="24"/>
          <w:szCs w:val="24"/>
        </w:rPr>
        <w:t>. Pearson Educación. 2005.</w:t>
      </w:r>
    </w:p>
    <w:p w14:paraId="00000044" w14:textId="77777777" w:rsidR="00025CCA" w:rsidRDefault="00647EE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Principios de química.</w:t>
      </w:r>
      <w:r>
        <w:rPr>
          <w:sz w:val="24"/>
          <w:szCs w:val="24"/>
        </w:rPr>
        <w:t xml:space="preserve"> Atkins – Jones. Editorial Médica Panamericana. 2006.</w:t>
      </w:r>
    </w:p>
    <w:p w14:paraId="00000045" w14:textId="77777777" w:rsidR="00025CCA" w:rsidRDefault="00647EE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Química.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La naturaleza molecular del cambio y la materia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Silberberg</w:t>
      </w:r>
      <w:proofErr w:type="spellEnd"/>
      <w:r>
        <w:rPr>
          <w:sz w:val="24"/>
          <w:szCs w:val="24"/>
        </w:rPr>
        <w:t>. Mc Graw Hill. 2ª. Edición. 2002.</w:t>
      </w:r>
    </w:p>
    <w:p w14:paraId="00000046" w14:textId="77777777" w:rsidR="00025CCA" w:rsidRDefault="00647EE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Química General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Umland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Bellama</w:t>
      </w:r>
      <w:proofErr w:type="spellEnd"/>
      <w:r>
        <w:rPr>
          <w:sz w:val="24"/>
          <w:szCs w:val="24"/>
        </w:rPr>
        <w:t>. Ed. Thomson. 3ª. Edición: 2000.</w:t>
      </w:r>
    </w:p>
    <w:p w14:paraId="00000047" w14:textId="77777777" w:rsidR="00025CCA" w:rsidRDefault="00647EE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Química, </w:t>
      </w:r>
      <w:r>
        <w:rPr>
          <w:sz w:val="24"/>
          <w:szCs w:val="24"/>
        </w:rPr>
        <w:t>Atkins P., Jones L. Ed. W.H. Freeman Co. 4ª Edición. 1999.</w:t>
      </w:r>
    </w:p>
    <w:p w14:paraId="00000048" w14:textId="77777777" w:rsidR="00025CCA" w:rsidRDefault="00647EE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Química General, Vol. 2: Reactividad Química. Compuestos Inorgánicos y Orgánicos. </w:t>
      </w:r>
      <w:proofErr w:type="spellStart"/>
      <w:r>
        <w:rPr>
          <w:sz w:val="24"/>
          <w:szCs w:val="24"/>
        </w:rPr>
        <w:t>R.</w:t>
      </w:r>
      <w:proofErr w:type="gramStart"/>
      <w:r>
        <w:rPr>
          <w:sz w:val="24"/>
          <w:szCs w:val="24"/>
        </w:rPr>
        <w:t>H.Petrucci</w:t>
      </w:r>
      <w:proofErr w:type="spellEnd"/>
      <w:proofErr w:type="gramEnd"/>
      <w:r>
        <w:rPr>
          <w:sz w:val="24"/>
          <w:szCs w:val="24"/>
        </w:rPr>
        <w:t>; W.S. Harwood. Ed. Prentice Hall 8ª Edición. 2003.</w:t>
      </w:r>
    </w:p>
    <w:p w14:paraId="00000049" w14:textId="77777777" w:rsidR="00025CCA" w:rsidRDefault="00647EE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Química,</w:t>
      </w:r>
      <w:r>
        <w:rPr>
          <w:sz w:val="24"/>
          <w:szCs w:val="24"/>
        </w:rPr>
        <w:t xml:space="preserve"> Chang R. Ed. McGraw-Hill. 6ª Edición. 2001.</w:t>
      </w:r>
    </w:p>
    <w:p w14:paraId="0000004A" w14:textId="77777777" w:rsidR="00025CCA" w:rsidRDefault="00647EE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Química Universitaria</w:t>
      </w:r>
      <w:r>
        <w:rPr>
          <w:sz w:val="24"/>
          <w:szCs w:val="24"/>
        </w:rPr>
        <w:t>, Mahan, Ed Addison Wesley. 4ª Edición. 1998</w:t>
      </w:r>
    </w:p>
    <w:p w14:paraId="0000004B" w14:textId="77777777" w:rsidR="00025CCA" w:rsidRDefault="00647EE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Química General Superior, </w:t>
      </w:r>
      <w:proofErr w:type="spellStart"/>
      <w:r>
        <w:rPr>
          <w:sz w:val="24"/>
          <w:szCs w:val="24"/>
        </w:rPr>
        <w:t>Masterton</w:t>
      </w:r>
      <w:proofErr w:type="spellEnd"/>
      <w:r>
        <w:rPr>
          <w:sz w:val="24"/>
          <w:szCs w:val="24"/>
        </w:rPr>
        <w:t>. Mc Graw Hill. 6ª Edición. 1992.</w:t>
      </w:r>
    </w:p>
    <w:p w14:paraId="0000004C" w14:textId="77777777" w:rsidR="00025CCA" w:rsidRDefault="00647EE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El mundo de la química</w:t>
      </w:r>
      <w:r>
        <w:rPr>
          <w:sz w:val="24"/>
          <w:szCs w:val="24"/>
        </w:rPr>
        <w:t xml:space="preserve">, Moore – </w:t>
      </w:r>
      <w:proofErr w:type="spellStart"/>
      <w:r>
        <w:rPr>
          <w:sz w:val="24"/>
          <w:szCs w:val="24"/>
        </w:rPr>
        <w:t>Stanitski</w:t>
      </w:r>
      <w:proofErr w:type="spellEnd"/>
      <w:r>
        <w:rPr>
          <w:sz w:val="24"/>
          <w:szCs w:val="24"/>
        </w:rPr>
        <w:t xml:space="preserve"> – Word – </w:t>
      </w:r>
      <w:proofErr w:type="spellStart"/>
      <w:r>
        <w:rPr>
          <w:sz w:val="24"/>
          <w:szCs w:val="24"/>
        </w:rPr>
        <w:t>Kotz</w:t>
      </w:r>
      <w:proofErr w:type="spellEnd"/>
      <w:r>
        <w:rPr>
          <w:sz w:val="24"/>
          <w:szCs w:val="24"/>
        </w:rPr>
        <w:t>. Ed. Pearson Educación. 2ª. Edición: 2000.</w:t>
      </w:r>
    </w:p>
    <w:p w14:paraId="0000004D" w14:textId="77777777" w:rsidR="00025CCA" w:rsidRDefault="00647EE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Química Básica</w:t>
      </w:r>
      <w:r>
        <w:rPr>
          <w:sz w:val="24"/>
          <w:szCs w:val="24"/>
        </w:rPr>
        <w:t>, Brady. Ed. Limusa Wiley. 2ª. Edición: 2000.</w:t>
      </w:r>
    </w:p>
    <w:p w14:paraId="0000004E" w14:textId="77777777" w:rsidR="00025CCA" w:rsidRDefault="00025CCA">
      <w:pPr>
        <w:spacing w:line="360" w:lineRule="auto"/>
        <w:jc w:val="both"/>
        <w:rPr>
          <w:sz w:val="24"/>
          <w:szCs w:val="24"/>
        </w:rPr>
      </w:pPr>
    </w:p>
    <w:p w14:paraId="0000004F" w14:textId="77777777" w:rsidR="00025CCA" w:rsidRDefault="00647E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Química Analítica</w:t>
      </w:r>
    </w:p>
    <w:p w14:paraId="00000050" w14:textId="77777777" w:rsidR="00025CCA" w:rsidRDefault="00647EE4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Fundamentos de Química Analítica</w:t>
      </w:r>
      <w:r>
        <w:rPr>
          <w:sz w:val="24"/>
          <w:szCs w:val="24"/>
        </w:rPr>
        <w:t xml:space="preserve">. Skoog – West - </w:t>
      </w:r>
      <w:proofErr w:type="spellStart"/>
      <w:r>
        <w:rPr>
          <w:sz w:val="24"/>
          <w:szCs w:val="24"/>
        </w:rPr>
        <w:t>Holler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Crouch</w:t>
      </w:r>
      <w:proofErr w:type="spellEnd"/>
      <w:r>
        <w:rPr>
          <w:sz w:val="24"/>
          <w:szCs w:val="24"/>
        </w:rPr>
        <w:t>. Ed. Thomson. 8ª. Edición: 2005.</w:t>
      </w:r>
    </w:p>
    <w:p w14:paraId="00000051" w14:textId="77777777" w:rsidR="00025CCA" w:rsidRDefault="00647EE4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Química Analítica,</w:t>
      </w:r>
      <w:r>
        <w:rPr>
          <w:sz w:val="24"/>
          <w:szCs w:val="24"/>
        </w:rPr>
        <w:t xml:space="preserve"> Skoog - West – </w:t>
      </w:r>
      <w:proofErr w:type="spellStart"/>
      <w:r>
        <w:rPr>
          <w:sz w:val="24"/>
          <w:szCs w:val="24"/>
        </w:rPr>
        <w:t>Holler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Crouch</w:t>
      </w:r>
      <w:proofErr w:type="spellEnd"/>
      <w:r>
        <w:rPr>
          <w:sz w:val="24"/>
          <w:szCs w:val="24"/>
        </w:rPr>
        <w:t>, Mc Graw Hill, 7ª Edición. 2001.</w:t>
      </w:r>
    </w:p>
    <w:p w14:paraId="00000052" w14:textId="77777777" w:rsidR="00025CCA" w:rsidRDefault="00647EE4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Análisis Químico Cuantitativo</w:t>
      </w:r>
      <w:r>
        <w:rPr>
          <w:sz w:val="24"/>
          <w:szCs w:val="24"/>
        </w:rPr>
        <w:t>, Harris D. C., Ed Reverté, 2ª Edición 2001.</w:t>
      </w:r>
    </w:p>
    <w:p w14:paraId="00000053" w14:textId="77777777" w:rsidR="00025CCA" w:rsidRDefault="00647EE4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Introducción a los Equilibrios Iónicos,</w:t>
      </w:r>
      <w:r>
        <w:rPr>
          <w:sz w:val="24"/>
          <w:szCs w:val="24"/>
        </w:rPr>
        <w:t xml:space="preserve"> Manuel Aguilar Sanjuán. Ed. Reverté, 1999.</w:t>
      </w:r>
    </w:p>
    <w:p w14:paraId="00000054" w14:textId="77777777" w:rsidR="00025CCA" w:rsidRDefault="00647EE4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Química Analítica Cuantitativa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R.</w:t>
      </w:r>
      <w:proofErr w:type="gramStart"/>
      <w:r>
        <w:rPr>
          <w:sz w:val="24"/>
          <w:szCs w:val="24"/>
        </w:rPr>
        <w:t>A.Day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Jr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A.L.Underwood</w:t>
      </w:r>
      <w:proofErr w:type="spellEnd"/>
      <w:r>
        <w:rPr>
          <w:sz w:val="24"/>
          <w:szCs w:val="24"/>
        </w:rPr>
        <w:t xml:space="preserve">. Ed. Prentice Hall. 5ª </w:t>
      </w:r>
      <w:proofErr w:type="gramStart"/>
      <w:r>
        <w:rPr>
          <w:sz w:val="24"/>
          <w:szCs w:val="24"/>
        </w:rPr>
        <w:t>Edición..</w:t>
      </w:r>
      <w:proofErr w:type="gramEnd"/>
      <w:r>
        <w:rPr>
          <w:sz w:val="24"/>
          <w:szCs w:val="24"/>
        </w:rPr>
        <w:t>1989.</w:t>
      </w:r>
    </w:p>
    <w:p w14:paraId="00000055" w14:textId="77777777" w:rsidR="00025CCA" w:rsidRDefault="00647EE4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Introducción a la Química Analítica. </w:t>
      </w:r>
      <w:r>
        <w:rPr>
          <w:sz w:val="24"/>
          <w:szCs w:val="24"/>
        </w:rPr>
        <w:t>Skoog – West. Editorial Reverté S. A. 1986.</w:t>
      </w:r>
    </w:p>
    <w:p w14:paraId="00000056" w14:textId="77777777" w:rsidR="00025CCA" w:rsidRDefault="00025CCA">
      <w:pPr>
        <w:spacing w:line="360" w:lineRule="auto"/>
        <w:jc w:val="both"/>
        <w:rPr>
          <w:sz w:val="24"/>
          <w:szCs w:val="24"/>
        </w:rPr>
      </w:pPr>
    </w:p>
    <w:p w14:paraId="00000057" w14:textId="77777777" w:rsidR="00025CCA" w:rsidRDefault="00647E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Química Inorgánica</w:t>
      </w:r>
    </w:p>
    <w:p w14:paraId="00000058" w14:textId="77777777" w:rsidR="00025CCA" w:rsidRDefault="00647EE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Química Inorgánica</w:t>
      </w:r>
      <w:r>
        <w:rPr>
          <w:sz w:val="24"/>
          <w:szCs w:val="24"/>
        </w:rPr>
        <w:t>, Glen E. Rodgers.  Ed. Mac Graw Hill. 2000.</w:t>
      </w:r>
    </w:p>
    <w:p w14:paraId="00000059" w14:textId="77777777" w:rsidR="00025CCA" w:rsidRDefault="00647EE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Química Inorgánica. </w:t>
      </w:r>
      <w:r>
        <w:rPr>
          <w:sz w:val="24"/>
          <w:szCs w:val="24"/>
        </w:rPr>
        <w:t>Shriver – Atkins – Langford. 2a. Edición. Editorial Reverté S. A. 1997.</w:t>
      </w:r>
    </w:p>
    <w:p w14:paraId="0000005A" w14:textId="77777777" w:rsidR="00025CCA" w:rsidRDefault="00647EE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Química Inorgánica Básica</w:t>
      </w:r>
      <w:r>
        <w:rPr>
          <w:sz w:val="24"/>
          <w:szCs w:val="24"/>
        </w:rPr>
        <w:t>, Cotton – Wilkinson. Ed. Limusa. 1994</w:t>
      </w:r>
    </w:p>
    <w:p w14:paraId="0000005B" w14:textId="77777777" w:rsidR="00025CCA" w:rsidRDefault="00647EE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Química Inorgánica</w:t>
      </w:r>
      <w:r>
        <w:rPr>
          <w:sz w:val="24"/>
          <w:szCs w:val="24"/>
        </w:rPr>
        <w:t>, Butler – Harrod. Ed. Addison Wesley Iberoamericana. 1992</w:t>
      </w:r>
    </w:p>
    <w:p w14:paraId="0000005C" w14:textId="77777777" w:rsidR="00025CCA" w:rsidRDefault="00647EE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Química Inorgánica Avanzada</w:t>
      </w:r>
      <w:r>
        <w:rPr>
          <w:sz w:val="24"/>
          <w:szCs w:val="24"/>
        </w:rPr>
        <w:t>. Cotton y Wilkinson. Limusa Noriega. 1990.</w:t>
      </w:r>
    </w:p>
    <w:p w14:paraId="0000005D" w14:textId="77777777" w:rsidR="00025CCA" w:rsidRDefault="00647EE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Química </w:t>
      </w:r>
      <w:proofErr w:type="spellStart"/>
      <w:r>
        <w:rPr>
          <w:b/>
          <w:sz w:val="24"/>
          <w:szCs w:val="24"/>
        </w:rPr>
        <w:t>Bioinorgánica</w:t>
      </w:r>
      <w:proofErr w:type="spellEnd"/>
      <w:r>
        <w:rPr>
          <w:sz w:val="24"/>
          <w:szCs w:val="24"/>
        </w:rPr>
        <w:t>, Baran. Ed. Mac Graw Hill. 1995.</w:t>
      </w:r>
    </w:p>
    <w:p w14:paraId="0000005E" w14:textId="77777777" w:rsidR="00025CCA" w:rsidRDefault="00025CCA">
      <w:pPr>
        <w:spacing w:line="360" w:lineRule="auto"/>
        <w:jc w:val="both"/>
        <w:rPr>
          <w:sz w:val="24"/>
          <w:szCs w:val="24"/>
        </w:rPr>
      </w:pPr>
    </w:p>
    <w:p w14:paraId="0000005F" w14:textId="77777777" w:rsidR="00025CCA" w:rsidRDefault="00647E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Química General en </w:t>
      </w:r>
      <w:proofErr w:type="gramStart"/>
      <w:r>
        <w:rPr>
          <w:sz w:val="24"/>
          <w:szCs w:val="24"/>
        </w:rPr>
        <w:t>Inglés</w:t>
      </w:r>
      <w:proofErr w:type="gramEnd"/>
    </w:p>
    <w:p w14:paraId="00000060" w14:textId="77777777" w:rsidR="00025CCA" w:rsidRDefault="00647EE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Chemistry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Brady – Russell – </w:t>
      </w:r>
      <w:proofErr w:type="spellStart"/>
      <w:r>
        <w:rPr>
          <w:sz w:val="24"/>
          <w:szCs w:val="24"/>
        </w:rPr>
        <w:t>Holum</w:t>
      </w:r>
      <w:proofErr w:type="spellEnd"/>
      <w:r>
        <w:rPr>
          <w:sz w:val="24"/>
          <w:szCs w:val="24"/>
        </w:rPr>
        <w:t xml:space="preserve">. John Wiley &amp; </w:t>
      </w:r>
      <w:proofErr w:type="spellStart"/>
      <w:r>
        <w:rPr>
          <w:sz w:val="24"/>
          <w:szCs w:val="24"/>
        </w:rPr>
        <w:t>Sons</w:t>
      </w:r>
      <w:proofErr w:type="spellEnd"/>
      <w:r>
        <w:rPr>
          <w:sz w:val="24"/>
          <w:szCs w:val="24"/>
        </w:rPr>
        <w:t>, Inc. 2000.</w:t>
      </w:r>
    </w:p>
    <w:p w14:paraId="00000061" w14:textId="77777777" w:rsidR="00025CCA" w:rsidRDefault="00647EE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Chemistry</w:t>
      </w:r>
      <w:proofErr w:type="spellEnd"/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Jones. Atkins. Ed. Freeman. 4ª Edición. 1999.</w:t>
      </w:r>
    </w:p>
    <w:p w14:paraId="00000062" w14:textId="77777777" w:rsidR="00025CCA" w:rsidRDefault="00647EE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Chemical </w:t>
      </w:r>
      <w:proofErr w:type="spellStart"/>
      <w:r>
        <w:rPr>
          <w:b/>
          <w:sz w:val="24"/>
          <w:szCs w:val="24"/>
        </w:rPr>
        <w:t>principles</w:t>
      </w:r>
      <w:proofErr w:type="spellEnd"/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Atkins – Jones. Ed. Freeman. 1999</w:t>
      </w:r>
    </w:p>
    <w:p w14:paraId="00000063" w14:textId="77777777" w:rsidR="00025CCA" w:rsidRDefault="00647EE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General </w:t>
      </w:r>
      <w:proofErr w:type="spellStart"/>
      <w:r>
        <w:rPr>
          <w:b/>
          <w:sz w:val="24"/>
          <w:szCs w:val="24"/>
        </w:rPr>
        <w:t>Chemistry</w:t>
      </w:r>
      <w:proofErr w:type="spellEnd"/>
      <w:r>
        <w:rPr>
          <w:sz w:val="24"/>
          <w:szCs w:val="24"/>
        </w:rPr>
        <w:t>, Pauling. Ed. Dover. 1988.</w:t>
      </w:r>
    </w:p>
    <w:p w14:paraId="00000064" w14:textId="77777777" w:rsidR="00025CCA" w:rsidRDefault="00025CCA">
      <w:pPr>
        <w:spacing w:line="360" w:lineRule="auto"/>
        <w:jc w:val="both"/>
        <w:rPr>
          <w:sz w:val="24"/>
          <w:szCs w:val="24"/>
        </w:rPr>
      </w:pPr>
    </w:p>
    <w:p w14:paraId="00000065" w14:textId="77777777" w:rsidR="00025CCA" w:rsidRDefault="00647EE4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La bibliografía que no se encuentra en la Biblioteca de la UNQ es suministrada por los docentes, ya sea porque se dispone de las versiones electrónicas y/o se dispone del ejemplar en el grupo de investigación asociado.</w:t>
      </w:r>
    </w:p>
    <w:p w14:paraId="00000066" w14:textId="77777777" w:rsidR="00025CCA" w:rsidRDefault="00025CCA">
      <w:pPr>
        <w:spacing w:line="360" w:lineRule="auto"/>
        <w:jc w:val="both"/>
        <w:rPr>
          <w:b/>
          <w:sz w:val="24"/>
          <w:szCs w:val="24"/>
        </w:rPr>
      </w:pPr>
    </w:p>
    <w:p w14:paraId="00000067" w14:textId="77777777" w:rsidR="00025CCA" w:rsidRDefault="00647EE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Organización de las clases</w:t>
      </w:r>
    </w:p>
    <w:p w14:paraId="00000068" w14:textId="2E4D9D70" w:rsidR="00025CCA" w:rsidRDefault="00647EE4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Las clases de seminario constan de teoría y resolución de problemas.  Se inicia con una introducción teórica del tema, empleando diapositivas </w:t>
      </w:r>
      <w:proofErr w:type="spellStart"/>
      <w:r>
        <w:rPr>
          <w:sz w:val="24"/>
          <w:szCs w:val="24"/>
        </w:rPr>
        <w:t>ppt</w:t>
      </w:r>
      <w:proofErr w:type="spellEnd"/>
      <w:r>
        <w:rPr>
          <w:sz w:val="24"/>
          <w:szCs w:val="24"/>
        </w:rPr>
        <w:t>, película o tiza y pizarrón, dependiendo de la temática. Y posteriormente la resolución a cargo de los/</w:t>
      </w:r>
      <w:r w:rsidR="00F50A7C">
        <w:rPr>
          <w:sz w:val="24"/>
          <w:szCs w:val="24"/>
        </w:rPr>
        <w:t xml:space="preserve"> y l</w:t>
      </w:r>
      <w:r>
        <w:rPr>
          <w:sz w:val="24"/>
          <w:szCs w:val="24"/>
        </w:rPr>
        <w:t>as estudiantes, normalmente trabajan en grupos, de problemas que fueron entregados al comienzo de la cursada.</w:t>
      </w:r>
    </w:p>
    <w:p w14:paraId="00000069" w14:textId="77777777" w:rsidR="00025CCA" w:rsidRDefault="00647E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Trabajos Prácticos de Laboratorio constan de un protocolo, una explicación del trabajo a realizar generalmente dada en la clase anterior a su realización.  </w:t>
      </w:r>
    </w:p>
    <w:p w14:paraId="0000006A" w14:textId="77777777" w:rsidR="00025CCA" w:rsidRDefault="00025CCA">
      <w:pPr>
        <w:spacing w:line="360" w:lineRule="auto"/>
        <w:jc w:val="both"/>
        <w:rPr>
          <w:sz w:val="24"/>
          <w:szCs w:val="24"/>
        </w:rPr>
      </w:pPr>
    </w:p>
    <w:p w14:paraId="0000006B" w14:textId="0DEEA29E" w:rsidR="00025CCA" w:rsidRDefault="00647EE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Modalidad de evaluación</w:t>
      </w:r>
    </w:p>
    <w:p w14:paraId="5B236375" w14:textId="77777777" w:rsidR="00647EE4" w:rsidRPr="003D7D89" w:rsidRDefault="00647EE4" w:rsidP="00647EE4">
      <w:pPr>
        <w:spacing w:line="360" w:lineRule="auto"/>
        <w:jc w:val="both"/>
        <w:rPr>
          <w:b/>
          <w:sz w:val="24"/>
          <w:szCs w:val="24"/>
        </w:rPr>
      </w:pPr>
      <w:r w:rsidRPr="003D7D89">
        <w:rPr>
          <w:sz w:val="24"/>
          <w:szCs w:val="24"/>
        </w:rPr>
        <w:t>La modalidad de evaluación y aprobación será según el Régimen de estudios vigente (Res. CS 201/18).</w:t>
      </w:r>
    </w:p>
    <w:p w14:paraId="16E14511" w14:textId="77777777" w:rsidR="00647EE4" w:rsidRDefault="00647EE4">
      <w:pPr>
        <w:spacing w:line="360" w:lineRule="auto"/>
        <w:jc w:val="both"/>
        <w:rPr>
          <w:b/>
          <w:sz w:val="24"/>
          <w:szCs w:val="24"/>
        </w:rPr>
      </w:pPr>
    </w:p>
    <w:p w14:paraId="0000006C" w14:textId="77777777" w:rsidR="00025CCA" w:rsidRDefault="00647EE4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Modalidad regular</w:t>
      </w:r>
    </w:p>
    <w:p w14:paraId="0000006D" w14:textId="77777777" w:rsidR="00025CCA" w:rsidRDefault="00647E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Evaluación mediante un interrogatorio escrito e individual de aspectos relacionados al TP.</w:t>
      </w:r>
    </w:p>
    <w:p w14:paraId="0000006E" w14:textId="77777777" w:rsidR="00025CCA" w:rsidRDefault="00647E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Realización del Trabajo y Discusión conjunta de resultados.</w:t>
      </w:r>
    </w:p>
    <w:p w14:paraId="0000006F" w14:textId="5EC937BD" w:rsidR="00025CCA" w:rsidRDefault="00647E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Confección de 1 o 2 informes asignados a cada </w:t>
      </w:r>
      <w:r w:rsidR="00F50A7C">
        <w:rPr>
          <w:sz w:val="24"/>
          <w:szCs w:val="24"/>
        </w:rPr>
        <w:t>persona estudiante</w:t>
      </w:r>
      <w:r>
        <w:rPr>
          <w:sz w:val="24"/>
          <w:szCs w:val="24"/>
        </w:rPr>
        <w:t xml:space="preserve"> para el cuatrimestre, a ser evaluado con nota. </w:t>
      </w:r>
    </w:p>
    <w:p w14:paraId="00000070" w14:textId="77777777" w:rsidR="00025CCA" w:rsidRDefault="00025CCA">
      <w:pPr>
        <w:spacing w:line="360" w:lineRule="auto"/>
        <w:jc w:val="both"/>
        <w:rPr>
          <w:b/>
          <w:sz w:val="24"/>
          <w:szCs w:val="24"/>
        </w:rPr>
      </w:pPr>
    </w:p>
    <w:p w14:paraId="00000071" w14:textId="77777777" w:rsidR="00025CCA" w:rsidRDefault="00647EE4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Aprobación de la asignatura según Régimen de Estudios vigente de la Universidad Nacional de Quilmes: </w:t>
      </w:r>
    </w:p>
    <w:p w14:paraId="00000072" w14:textId="77777777" w:rsidR="00025CCA" w:rsidRDefault="00647E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aprobación de la materia bajo el régimen de regularidad requerirá: Una asistencia no inferior al 75 % en las clases presenciales previstas, y cumplir con al menos una de las siguientes posibilidades:</w:t>
      </w:r>
    </w:p>
    <w:p w14:paraId="00000073" w14:textId="77777777" w:rsidR="00025CCA" w:rsidRDefault="00647E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la obtención de un promedio mínimo de 7 puntos en las instancias parciales de evaluación y de un mínimo de 6 puntos en cada una de ellas.</w:t>
      </w:r>
    </w:p>
    <w:p w14:paraId="00000074" w14:textId="77777777" w:rsidR="00025CCA" w:rsidRDefault="00647E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la obtención de un mínimo de 4 puntos en cada instancia parcial de evaluación y en el examen integrador, el que será obligatorio en estos casos. Este examen se tomará dentro de los plazos del curso.</w:t>
      </w:r>
    </w:p>
    <w:p w14:paraId="00000075" w14:textId="77777777" w:rsidR="00025CCA" w:rsidRDefault="00647E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Los/as alumno/as que obtuvieron un mínimo de 4 puntos en cada una de las instancias parciales de evaluación y no hubieran aprobado el examen integrador mencionado en el Inc. b), deberán rendir un examen integrador, o en su reemplazo la estrategia de evaluación integradora final que el programa del curso </w:t>
      </w:r>
      <w:r>
        <w:rPr>
          <w:sz w:val="24"/>
          <w:szCs w:val="24"/>
        </w:rPr>
        <w:lastRenderedPageBreak/>
        <w:t>establezca, que el cuerpo docente administrará en los lapsos estipulados por la UNQ.</w:t>
      </w:r>
    </w:p>
    <w:p w14:paraId="00000076" w14:textId="77777777" w:rsidR="00025CCA" w:rsidRDefault="00025CCA">
      <w:pPr>
        <w:spacing w:line="360" w:lineRule="auto"/>
        <w:jc w:val="both"/>
        <w:rPr>
          <w:b/>
          <w:sz w:val="24"/>
          <w:szCs w:val="24"/>
        </w:rPr>
      </w:pPr>
    </w:p>
    <w:p w14:paraId="00000077" w14:textId="77777777" w:rsidR="00025CCA" w:rsidRDefault="00025C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eastAsia="Arial"/>
          <w:color w:val="000000"/>
          <w:sz w:val="24"/>
          <w:szCs w:val="24"/>
        </w:rPr>
      </w:pPr>
    </w:p>
    <w:p w14:paraId="00000078" w14:textId="77777777" w:rsidR="00025CCA" w:rsidRDefault="00647EE4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Modalidad libre</w:t>
      </w:r>
    </w:p>
    <w:p w14:paraId="00000079" w14:textId="77777777" w:rsidR="00025CCA" w:rsidRDefault="00647E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la modalidad de libre, se evaluarán los contenidos de la asignatura con un examen escrito, un examen oral e instancias de evaluación similares a las realizadas en la modalidad presencial. Los contenidos a evaluar serán los especificados anteriormente incluyendo demostraciones teóricas, laboratorios y problemas de aplicación.</w:t>
      </w:r>
    </w:p>
    <w:p w14:paraId="0000007A" w14:textId="77777777" w:rsidR="00025CCA" w:rsidRDefault="00025CCA">
      <w:pPr>
        <w:spacing w:line="360" w:lineRule="auto"/>
        <w:jc w:val="both"/>
        <w:rPr>
          <w:sz w:val="24"/>
          <w:szCs w:val="24"/>
        </w:rPr>
      </w:pPr>
    </w:p>
    <w:p w14:paraId="000000A3" w14:textId="77777777" w:rsidR="00025CCA" w:rsidRDefault="00025CCA">
      <w:pPr>
        <w:spacing w:line="360" w:lineRule="auto"/>
        <w:jc w:val="both"/>
        <w:rPr>
          <w:sz w:val="24"/>
          <w:szCs w:val="24"/>
        </w:rPr>
      </w:pPr>
    </w:p>
    <w:p w14:paraId="000000A4" w14:textId="77777777" w:rsidR="00025CCA" w:rsidRDefault="00025CCA">
      <w:pPr>
        <w:spacing w:line="360" w:lineRule="auto"/>
        <w:jc w:val="both"/>
        <w:rPr>
          <w:sz w:val="24"/>
          <w:szCs w:val="24"/>
        </w:rPr>
        <w:sectPr w:rsidR="00025CCA" w:rsidSect="00CE1FA9">
          <w:pgSz w:w="11906" w:h="16838"/>
          <w:pgMar w:top="1701" w:right="1701" w:bottom="1134" w:left="1701" w:header="708" w:footer="708" w:gutter="0"/>
          <w:pgNumType w:start="1"/>
          <w:cols w:space="720"/>
        </w:sectPr>
      </w:pPr>
    </w:p>
    <w:p w14:paraId="27D1C74F" w14:textId="77777777" w:rsidR="00CE1FA9" w:rsidRDefault="00CE1FA9" w:rsidP="00CE1FA9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35D7F03A" w14:textId="77777777" w:rsidR="00CE1FA9" w:rsidRDefault="00CE1FA9" w:rsidP="00CE1FA9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3827A255" w14:textId="77777777" w:rsidR="00CE1FA9" w:rsidRDefault="00CE1FA9" w:rsidP="00CE1FA9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638B78BC" w14:textId="77777777" w:rsidR="00CE1FA9" w:rsidRDefault="00CE1FA9" w:rsidP="00CE1FA9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78A3A6AD" w14:textId="77777777" w:rsidR="00CE1FA9" w:rsidRDefault="00CE1FA9" w:rsidP="00CE1FA9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000000A5" w14:textId="4C632850" w:rsidR="00025CCA" w:rsidRDefault="00647E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b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CRONOGRAMA TENTATIVO</w:t>
      </w:r>
    </w:p>
    <w:p w14:paraId="130E54A4" w14:textId="77777777" w:rsidR="00CE1FA9" w:rsidRDefault="00CE1F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color w:val="000000"/>
          <w:sz w:val="22"/>
          <w:szCs w:val="22"/>
        </w:rPr>
      </w:pPr>
    </w:p>
    <w:tbl>
      <w:tblPr>
        <w:tblStyle w:val="a"/>
        <w:tblW w:w="158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9"/>
        <w:gridCol w:w="8415"/>
        <w:gridCol w:w="1134"/>
        <w:gridCol w:w="1276"/>
        <w:gridCol w:w="709"/>
        <w:gridCol w:w="1559"/>
        <w:gridCol w:w="1557"/>
      </w:tblGrid>
      <w:tr w:rsidR="00025CCA" w14:paraId="6CE6A6F4" w14:textId="77777777">
        <w:trPr>
          <w:trHeight w:val="366"/>
          <w:jc w:val="center"/>
        </w:trPr>
        <w:tc>
          <w:tcPr>
            <w:tcW w:w="1219" w:type="dxa"/>
            <w:vMerge w:val="restart"/>
            <w:vAlign w:val="center"/>
          </w:tcPr>
          <w:p w14:paraId="000000A6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Semana</w:t>
            </w:r>
          </w:p>
        </w:tc>
        <w:tc>
          <w:tcPr>
            <w:tcW w:w="8415" w:type="dxa"/>
            <w:vAlign w:val="center"/>
          </w:tcPr>
          <w:p w14:paraId="000000A7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Tema/unidad</w:t>
            </w:r>
          </w:p>
        </w:tc>
        <w:tc>
          <w:tcPr>
            <w:tcW w:w="4678" w:type="dxa"/>
            <w:gridSpan w:val="4"/>
          </w:tcPr>
          <w:p w14:paraId="000000A8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Actividad*</w:t>
            </w:r>
          </w:p>
        </w:tc>
        <w:tc>
          <w:tcPr>
            <w:tcW w:w="1557" w:type="dxa"/>
            <w:vMerge w:val="restart"/>
            <w:vAlign w:val="center"/>
          </w:tcPr>
          <w:p w14:paraId="000000AC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Evaluación</w:t>
            </w:r>
          </w:p>
        </w:tc>
      </w:tr>
      <w:tr w:rsidR="00025CCA" w14:paraId="679FDD7E" w14:textId="77777777">
        <w:trPr>
          <w:trHeight w:val="167"/>
          <w:jc w:val="center"/>
        </w:trPr>
        <w:tc>
          <w:tcPr>
            <w:tcW w:w="1219" w:type="dxa"/>
            <w:vMerge/>
            <w:vAlign w:val="center"/>
          </w:tcPr>
          <w:p w14:paraId="000000AD" w14:textId="77777777" w:rsidR="00025CCA" w:rsidRDefault="0002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415" w:type="dxa"/>
            <w:vMerge w:val="restart"/>
            <w:vAlign w:val="center"/>
          </w:tcPr>
          <w:p w14:paraId="000000AE" w14:textId="77777777" w:rsidR="00025CCA" w:rsidRDefault="0002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  <w:p w14:paraId="000000AF" w14:textId="77777777" w:rsidR="00025CCA" w:rsidRDefault="0002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0000B0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Teórico</w:t>
            </w:r>
          </w:p>
        </w:tc>
        <w:tc>
          <w:tcPr>
            <w:tcW w:w="3544" w:type="dxa"/>
            <w:gridSpan w:val="3"/>
          </w:tcPr>
          <w:p w14:paraId="000000B1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Práctico</w:t>
            </w:r>
          </w:p>
        </w:tc>
        <w:tc>
          <w:tcPr>
            <w:tcW w:w="1557" w:type="dxa"/>
            <w:vMerge/>
            <w:vAlign w:val="center"/>
          </w:tcPr>
          <w:p w14:paraId="000000B4" w14:textId="77777777" w:rsidR="00025CCA" w:rsidRDefault="0002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b/>
                <w:color w:val="000000"/>
                <w:sz w:val="24"/>
                <w:szCs w:val="24"/>
              </w:rPr>
            </w:pPr>
          </w:p>
        </w:tc>
      </w:tr>
      <w:tr w:rsidR="00025CCA" w14:paraId="7B01188A" w14:textId="77777777">
        <w:trPr>
          <w:trHeight w:val="624"/>
          <w:jc w:val="center"/>
        </w:trPr>
        <w:tc>
          <w:tcPr>
            <w:tcW w:w="1219" w:type="dxa"/>
            <w:vMerge/>
            <w:vAlign w:val="center"/>
          </w:tcPr>
          <w:p w14:paraId="000000B5" w14:textId="77777777" w:rsidR="00025CCA" w:rsidRDefault="0002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415" w:type="dxa"/>
            <w:vMerge/>
            <w:vAlign w:val="center"/>
          </w:tcPr>
          <w:p w14:paraId="000000B6" w14:textId="77777777" w:rsidR="00025CCA" w:rsidRDefault="0002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0000B7" w14:textId="77777777" w:rsidR="00025CCA" w:rsidRDefault="0002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  <w:p w14:paraId="000000B8" w14:textId="77777777" w:rsidR="00025CCA" w:rsidRDefault="0002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0000B9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 xml:space="preserve">Res </w:t>
            </w:r>
            <w:proofErr w:type="spellStart"/>
            <w:r>
              <w:rPr>
                <w:rFonts w:eastAsia="Arial"/>
                <w:b/>
                <w:color w:val="000000"/>
                <w:sz w:val="22"/>
                <w:szCs w:val="22"/>
              </w:rPr>
              <w:t>Prob</w:t>
            </w:r>
            <w:proofErr w:type="spellEnd"/>
          </w:p>
        </w:tc>
        <w:tc>
          <w:tcPr>
            <w:tcW w:w="709" w:type="dxa"/>
          </w:tcPr>
          <w:p w14:paraId="000000BA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/>
                <w:b/>
                <w:color w:val="000000"/>
                <w:sz w:val="22"/>
                <w:szCs w:val="22"/>
              </w:rPr>
              <w:t>Lab</w:t>
            </w:r>
            <w:proofErr w:type="spellEnd"/>
          </w:p>
        </w:tc>
        <w:tc>
          <w:tcPr>
            <w:tcW w:w="1559" w:type="dxa"/>
          </w:tcPr>
          <w:p w14:paraId="000000BB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Otros</w:t>
            </w:r>
          </w:p>
          <w:p w14:paraId="000000BC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Especificar</w:t>
            </w:r>
          </w:p>
        </w:tc>
        <w:tc>
          <w:tcPr>
            <w:tcW w:w="1557" w:type="dxa"/>
            <w:vMerge/>
            <w:vAlign w:val="center"/>
          </w:tcPr>
          <w:p w14:paraId="000000BD" w14:textId="77777777" w:rsidR="00025CCA" w:rsidRDefault="0002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b/>
                <w:color w:val="000000"/>
                <w:sz w:val="24"/>
                <w:szCs w:val="24"/>
              </w:rPr>
            </w:pPr>
          </w:p>
        </w:tc>
      </w:tr>
      <w:tr w:rsidR="00025CCA" w14:paraId="74176A4E" w14:textId="77777777">
        <w:trPr>
          <w:trHeight w:val="366"/>
          <w:jc w:val="center"/>
        </w:trPr>
        <w:tc>
          <w:tcPr>
            <w:tcW w:w="1219" w:type="dxa"/>
          </w:tcPr>
          <w:p w14:paraId="000000BE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15" w:type="dxa"/>
            <w:vAlign w:val="center"/>
          </w:tcPr>
          <w:p w14:paraId="000000BF" w14:textId="77777777" w:rsidR="00025CCA" w:rsidRDefault="00647E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Repaso. Equilibrio químico</w:t>
            </w:r>
          </w:p>
        </w:tc>
        <w:tc>
          <w:tcPr>
            <w:tcW w:w="4678" w:type="dxa"/>
            <w:gridSpan w:val="4"/>
          </w:tcPr>
          <w:p w14:paraId="000000C0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X                    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557" w:type="dxa"/>
          </w:tcPr>
          <w:p w14:paraId="000000C4" w14:textId="77777777" w:rsidR="00025CCA" w:rsidRDefault="0002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025CCA" w14:paraId="41561C0F" w14:textId="77777777">
        <w:trPr>
          <w:trHeight w:val="366"/>
          <w:jc w:val="center"/>
        </w:trPr>
        <w:tc>
          <w:tcPr>
            <w:tcW w:w="1219" w:type="dxa"/>
          </w:tcPr>
          <w:p w14:paraId="000000C5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15" w:type="dxa"/>
            <w:vAlign w:val="center"/>
          </w:tcPr>
          <w:p w14:paraId="000000C6" w14:textId="77777777" w:rsidR="00025CCA" w:rsidRDefault="00647E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Ácidos y bases. </w:t>
            </w:r>
            <w:r>
              <w:rPr>
                <w:b/>
                <w:sz w:val="22"/>
                <w:szCs w:val="22"/>
              </w:rPr>
              <w:t>TP1</w:t>
            </w:r>
          </w:p>
        </w:tc>
        <w:tc>
          <w:tcPr>
            <w:tcW w:w="4678" w:type="dxa"/>
            <w:gridSpan w:val="4"/>
          </w:tcPr>
          <w:p w14:paraId="000000C7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X                    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</w:rPr>
              <w:t>X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557" w:type="dxa"/>
          </w:tcPr>
          <w:p w14:paraId="000000CB" w14:textId="77777777" w:rsidR="00025CCA" w:rsidRDefault="0002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025CCA" w14:paraId="1F7F50AE" w14:textId="77777777">
        <w:trPr>
          <w:trHeight w:val="366"/>
          <w:jc w:val="center"/>
        </w:trPr>
        <w:tc>
          <w:tcPr>
            <w:tcW w:w="1219" w:type="dxa"/>
          </w:tcPr>
          <w:p w14:paraId="000000CC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15" w:type="dxa"/>
            <w:vAlign w:val="center"/>
          </w:tcPr>
          <w:p w14:paraId="000000CD" w14:textId="77777777" w:rsidR="00025CCA" w:rsidRDefault="00647EE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Ácidos y bases. Hidrólisis</w:t>
            </w:r>
          </w:p>
        </w:tc>
        <w:tc>
          <w:tcPr>
            <w:tcW w:w="4678" w:type="dxa"/>
            <w:gridSpan w:val="4"/>
          </w:tcPr>
          <w:p w14:paraId="000000CE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X                    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557" w:type="dxa"/>
          </w:tcPr>
          <w:p w14:paraId="000000D2" w14:textId="77777777" w:rsidR="00025CCA" w:rsidRDefault="0002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025CCA" w14:paraId="7246E5E5" w14:textId="77777777">
        <w:trPr>
          <w:trHeight w:val="366"/>
          <w:jc w:val="center"/>
        </w:trPr>
        <w:tc>
          <w:tcPr>
            <w:tcW w:w="1219" w:type="dxa"/>
          </w:tcPr>
          <w:p w14:paraId="000000D3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15" w:type="dxa"/>
            <w:vAlign w:val="center"/>
          </w:tcPr>
          <w:p w14:paraId="000000D4" w14:textId="77777777" w:rsidR="00025CCA" w:rsidRDefault="00647E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Soluciones amortiguadoras. </w:t>
            </w:r>
            <w:r>
              <w:rPr>
                <w:b/>
                <w:sz w:val="22"/>
                <w:szCs w:val="22"/>
              </w:rPr>
              <w:t>TP 2</w:t>
            </w:r>
          </w:p>
        </w:tc>
        <w:tc>
          <w:tcPr>
            <w:tcW w:w="4678" w:type="dxa"/>
            <w:gridSpan w:val="4"/>
          </w:tcPr>
          <w:p w14:paraId="000000D5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X                    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</w:rPr>
              <w:t>X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557" w:type="dxa"/>
          </w:tcPr>
          <w:p w14:paraId="000000D9" w14:textId="77777777" w:rsidR="00025CCA" w:rsidRDefault="0002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025CCA" w14:paraId="24EE755C" w14:textId="77777777">
        <w:trPr>
          <w:trHeight w:val="366"/>
          <w:jc w:val="center"/>
        </w:trPr>
        <w:tc>
          <w:tcPr>
            <w:tcW w:w="1219" w:type="dxa"/>
          </w:tcPr>
          <w:p w14:paraId="000000DA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15" w:type="dxa"/>
            <w:vAlign w:val="center"/>
          </w:tcPr>
          <w:p w14:paraId="000000DB" w14:textId="77777777" w:rsidR="00025CCA" w:rsidRDefault="00647E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Soluciones amortiguadoras. </w:t>
            </w:r>
            <w:r>
              <w:rPr>
                <w:b/>
                <w:sz w:val="22"/>
                <w:szCs w:val="22"/>
              </w:rPr>
              <w:t>TP3</w:t>
            </w:r>
          </w:p>
        </w:tc>
        <w:tc>
          <w:tcPr>
            <w:tcW w:w="4678" w:type="dxa"/>
            <w:gridSpan w:val="4"/>
          </w:tcPr>
          <w:p w14:paraId="000000DC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X                    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</w:rPr>
              <w:t>X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557" w:type="dxa"/>
          </w:tcPr>
          <w:p w14:paraId="000000E0" w14:textId="77777777" w:rsidR="00025CCA" w:rsidRDefault="0002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025CCA" w14:paraId="6B1904F0" w14:textId="77777777">
        <w:trPr>
          <w:trHeight w:val="366"/>
          <w:jc w:val="center"/>
        </w:trPr>
        <w:tc>
          <w:tcPr>
            <w:tcW w:w="1219" w:type="dxa"/>
          </w:tcPr>
          <w:p w14:paraId="000000E1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15" w:type="dxa"/>
            <w:vAlign w:val="center"/>
          </w:tcPr>
          <w:p w14:paraId="000000E2" w14:textId="77777777" w:rsidR="00025CCA" w:rsidRDefault="00647E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Titulaciones. </w:t>
            </w:r>
            <w:r>
              <w:rPr>
                <w:b/>
                <w:sz w:val="22"/>
                <w:szCs w:val="22"/>
              </w:rPr>
              <w:t>TP4</w:t>
            </w:r>
          </w:p>
        </w:tc>
        <w:tc>
          <w:tcPr>
            <w:tcW w:w="4678" w:type="dxa"/>
            <w:gridSpan w:val="4"/>
          </w:tcPr>
          <w:p w14:paraId="000000E3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X                    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</w:rPr>
              <w:t>X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557" w:type="dxa"/>
          </w:tcPr>
          <w:p w14:paraId="000000E7" w14:textId="77777777" w:rsidR="00025CCA" w:rsidRDefault="0002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025CCA" w14:paraId="39DF6612" w14:textId="77777777">
        <w:trPr>
          <w:trHeight w:val="348"/>
          <w:jc w:val="center"/>
        </w:trPr>
        <w:tc>
          <w:tcPr>
            <w:tcW w:w="1219" w:type="dxa"/>
          </w:tcPr>
          <w:p w14:paraId="000000E8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15" w:type="dxa"/>
            <w:vAlign w:val="center"/>
          </w:tcPr>
          <w:p w14:paraId="000000E9" w14:textId="77777777" w:rsidR="00025CCA" w:rsidRDefault="00647E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Equilibrios de solubilidad. Redox</w:t>
            </w:r>
          </w:p>
        </w:tc>
        <w:tc>
          <w:tcPr>
            <w:tcW w:w="4678" w:type="dxa"/>
            <w:gridSpan w:val="4"/>
          </w:tcPr>
          <w:p w14:paraId="000000EA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X                    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</w:rPr>
              <w:t>X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</w:rPr>
              <w:t xml:space="preserve">              </w:t>
            </w:r>
          </w:p>
        </w:tc>
        <w:tc>
          <w:tcPr>
            <w:tcW w:w="1557" w:type="dxa"/>
          </w:tcPr>
          <w:p w14:paraId="000000EE" w14:textId="77777777" w:rsidR="00025CCA" w:rsidRDefault="0002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025CCA" w14:paraId="4A5B962F" w14:textId="77777777">
        <w:trPr>
          <w:trHeight w:val="366"/>
          <w:jc w:val="center"/>
        </w:trPr>
        <w:tc>
          <w:tcPr>
            <w:tcW w:w="1219" w:type="dxa"/>
          </w:tcPr>
          <w:p w14:paraId="000000EF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15" w:type="dxa"/>
            <w:vAlign w:val="center"/>
          </w:tcPr>
          <w:p w14:paraId="000000F0" w14:textId="77777777" w:rsidR="00025CCA" w:rsidRDefault="00647E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Redox. </w:t>
            </w:r>
            <w:r>
              <w:rPr>
                <w:b/>
                <w:sz w:val="22"/>
                <w:szCs w:val="22"/>
              </w:rPr>
              <w:t xml:space="preserve">TP5. </w:t>
            </w:r>
            <w:r>
              <w:rPr>
                <w:sz w:val="22"/>
                <w:szCs w:val="22"/>
              </w:rPr>
              <w:t>Repaso</w:t>
            </w:r>
          </w:p>
        </w:tc>
        <w:tc>
          <w:tcPr>
            <w:tcW w:w="4678" w:type="dxa"/>
            <w:gridSpan w:val="4"/>
          </w:tcPr>
          <w:p w14:paraId="000000F1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X                    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</w:rPr>
              <w:t>X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557" w:type="dxa"/>
          </w:tcPr>
          <w:p w14:paraId="000000F5" w14:textId="77777777" w:rsidR="00025CCA" w:rsidRDefault="0002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025CCA" w14:paraId="369D5427" w14:textId="77777777">
        <w:trPr>
          <w:trHeight w:val="366"/>
          <w:jc w:val="center"/>
        </w:trPr>
        <w:tc>
          <w:tcPr>
            <w:tcW w:w="1219" w:type="dxa"/>
          </w:tcPr>
          <w:p w14:paraId="000000F6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8415" w:type="dxa"/>
            <w:vAlign w:val="center"/>
          </w:tcPr>
          <w:p w14:paraId="000000F7" w14:textId="77777777" w:rsidR="00025CCA" w:rsidRDefault="00647EE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vertAlign w:val="superscript"/>
              </w:rPr>
              <w:t xml:space="preserve">er </w:t>
            </w:r>
            <w:r>
              <w:rPr>
                <w:b/>
                <w:sz w:val="22"/>
                <w:szCs w:val="22"/>
              </w:rPr>
              <w:t>parcial</w:t>
            </w:r>
          </w:p>
        </w:tc>
        <w:tc>
          <w:tcPr>
            <w:tcW w:w="4678" w:type="dxa"/>
            <w:gridSpan w:val="4"/>
          </w:tcPr>
          <w:p w14:paraId="000000F8" w14:textId="77777777" w:rsidR="00025CCA" w:rsidRDefault="0002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</w:tcPr>
          <w:p w14:paraId="000000FC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X</w:t>
            </w:r>
          </w:p>
        </w:tc>
      </w:tr>
      <w:tr w:rsidR="00025CCA" w14:paraId="4CB23628" w14:textId="77777777">
        <w:trPr>
          <w:trHeight w:val="348"/>
          <w:jc w:val="center"/>
        </w:trPr>
        <w:tc>
          <w:tcPr>
            <w:tcW w:w="1219" w:type="dxa"/>
          </w:tcPr>
          <w:p w14:paraId="000000FD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15" w:type="dxa"/>
            <w:vAlign w:val="center"/>
          </w:tcPr>
          <w:p w14:paraId="000000FE" w14:textId="77777777" w:rsidR="00025CCA" w:rsidRDefault="00647EE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Geometría Molecular</w:t>
            </w:r>
          </w:p>
        </w:tc>
        <w:tc>
          <w:tcPr>
            <w:tcW w:w="4678" w:type="dxa"/>
            <w:gridSpan w:val="4"/>
          </w:tcPr>
          <w:p w14:paraId="000000FF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X                    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</w:rPr>
              <w:t>X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</w:rPr>
              <w:t xml:space="preserve">              </w:t>
            </w:r>
          </w:p>
        </w:tc>
        <w:tc>
          <w:tcPr>
            <w:tcW w:w="1557" w:type="dxa"/>
          </w:tcPr>
          <w:p w14:paraId="00000103" w14:textId="77777777" w:rsidR="00025CCA" w:rsidRDefault="0002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025CCA" w14:paraId="6BD47C23" w14:textId="77777777">
        <w:trPr>
          <w:trHeight w:val="383"/>
          <w:jc w:val="center"/>
        </w:trPr>
        <w:tc>
          <w:tcPr>
            <w:tcW w:w="1219" w:type="dxa"/>
          </w:tcPr>
          <w:p w14:paraId="00000104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415" w:type="dxa"/>
            <w:vAlign w:val="center"/>
          </w:tcPr>
          <w:p w14:paraId="00000105" w14:textId="77777777" w:rsidR="00025CCA" w:rsidRDefault="00647EE4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Qca</w:t>
            </w:r>
            <w:proofErr w:type="spellEnd"/>
            <w:r>
              <w:rPr>
                <w:sz w:val="22"/>
                <w:szCs w:val="22"/>
              </w:rPr>
              <w:t xml:space="preserve">. de metales de transición y </w:t>
            </w:r>
            <w:proofErr w:type="spellStart"/>
            <w:r>
              <w:rPr>
                <w:sz w:val="22"/>
                <w:szCs w:val="22"/>
              </w:rPr>
              <w:t>complej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4"/>
          </w:tcPr>
          <w:p w14:paraId="00000106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X                    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</w:rPr>
              <w:t>X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</w:rPr>
              <w:t xml:space="preserve">              </w:t>
            </w:r>
          </w:p>
        </w:tc>
        <w:tc>
          <w:tcPr>
            <w:tcW w:w="1557" w:type="dxa"/>
          </w:tcPr>
          <w:p w14:paraId="0000010A" w14:textId="77777777" w:rsidR="00025CCA" w:rsidRDefault="0002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025CCA" w14:paraId="51AB423A" w14:textId="77777777">
        <w:trPr>
          <w:trHeight w:val="167"/>
          <w:jc w:val="center"/>
        </w:trPr>
        <w:tc>
          <w:tcPr>
            <w:tcW w:w="1219" w:type="dxa"/>
          </w:tcPr>
          <w:p w14:paraId="0000010B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415" w:type="dxa"/>
            <w:vAlign w:val="center"/>
          </w:tcPr>
          <w:p w14:paraId="0000010C" w14:textId="77777777" w:rsidR="00025CCA" w:rsidRDefault="00647EE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Radioquímica. </w:t>
            </w:r>
            <w:r>
              <w:rPr>
                <w:b/>
                <w:sz w:val="22"/>
                <w:szCs w:val="22"/>
              </w:rPr>
              <w:t>TP6</w:t>
            </w:r>
          </w:p>
        </w:tc>
        <w:tc>
          <w:tcPr>
            <w:tcW w:w="4678" w:type="dxa"/>
            <w:gridSpan w:val="4"/>
          </w:tcPr>
          <w:p w14:paraId="0000010D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X                    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</w:rPr>
              <w:t>X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557" w:type="dxa"/>
          </w:tcPr>
          <w:p w14:paraId="00000111" w14:textId="77777777" w:rsidR="00025CCA" w:rsidRDefault="0002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025CCA" w14:paraId="32187A1F" w14:textId="77777777">
        <w:trPr>
          <w:trHeight w:val="167"/>
          <w:jc w:val="center"/>
        </w:trPr>
        <w:tc>
          <w:tcPr>
            <w:tcW w:w="1219" w:type="dxa"/>
          </w:tcPr>
          <w:p w14:paraId="00000112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415" w:type="dxa"/>
            <w:vAlign w:val="center"/>
          </w:tcPr>
          <w:p w14:paraId="00000113" w14:textId="77777777" w:rsidR="00025CCA" w:rsidRDefault="00647EE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Radioquímica. </w:t>
            </w:r>
            <w:r>
              <w:rPr>
                <w:b/>
                <w:sz w:val="22"/>
                <w:szCs w:val="22"/>
              </w:rPr>
              <w:t>TP7</w:t>
            </w:r>
          </w:p>
        </w:tc>
        <w:tc>
          <w:tcPr>
            <w:tcW w:w="4678" w:type="dxa"/>
            <w:gridSpan w:val="4"/>
          </w:tcPr>
          <w:p w14:paraId="00000114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X                    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</w:rPr>
              <w:t>X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557" w:type="dxa"/>
          </w:tcPr>
          <w:p w14:paraId="00000118" w14:textId="77777777" w:rsidR="00025CCA" w:rsidRDefault="0002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025CCA" w14:paraId="7011C2F0" w14:textId="77777777">
        <w:trPr>
          <w:trHeight w:val="167"/>
          <w:jc w:val="center"/>
        </w:trPr>
        <w:tc>
          <w:tcPr>
            <w:tcW w:w="1219" w:type="dxa"/>
          </w:tcPr>
          <w:p w14:paraId="00000119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8415" w:type="dxa"/>
            <w:vAlign w:val="center"/>
          </w:tcPr>
          <w:p w14:paraId="0000011A" w14:textId="77777777" w:rsidR="00025CCA" w:rsidRDefault="00647E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Química de los elementos </w:t>
            </w:r>
            <w:proofErr w:type="spellStart"/>
            <w:r>
              <w:rPr>
                <w:sz w:val="22"/>
                <w:szCs w:val="22"/>
              </w:rPr>
              <w:t>representativ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TP 8 y 9</w:t>
            </w:r>
          </w:p>
        </w:tc>
        <w:tc>
          <w:tcPr>
            <w:tcW w:w="4678" w:type="dxa"/>
            <w:gridSpan w:val="4"/>
          </w:tcPr>
          <w:p w14:paraId="0000011B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X                    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</w:rPr>
              <w:t>X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557" w:type="dxa"/>
          </w:tcPr>
          <w:p w14:paraId="0000011F" w14:textId="77777777" w:rsidR="00025CCA" w:rsidRDefault="0002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025CCA" w14:paraId="74705C8F" w14:textId="77777777">
        <w:trPr>
          <w:trHeight w:val="167"/>
          <w:jc w:val="center"/>
        </w:trPr>
        <w:tc>
          <w:tcPr>
            <w:tcW w:w="1219" w:type="dxa"/>
          </w:tcPr>
          <w:p w14:paraId="00000120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415" w:type="dxa"/>
            <w:vAlign w:val="center"/>
          </w:tcPr>
          <w:p w14:paraId="00000121" w14:textId="77777777" w:rsidR="00025CCA" w:rsidRDefault="00647EE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Química de los elementos </w:t>
            </w:r>
            <w:proofErr w:type="spellStart"/>
            <w:r>
              <w:rPr>
                <w:sz w:val="22"/>
                <w:szCs w:val="22"/>
              </w:rPr>
              <w:t>representativ</w:t>
            </w:r>
            <w:proofErr w:type="spellEnd"/>
            <w:r>
              <w:rPr>
                <w:sz w:val="22"/>
                <w:szCs w:val="22"/>
              </w:rPr>
              <w:t>.  Repaso</w:t>
            </w:r>
          </w:p>
        </w:tc>
        <w:tc>
          <w:tcPr>
            <w:tcW w:w="4678" w:type="dxa"/>
            <w:gridSpan w:val="4"/>
          </w:tcPr>
          <w:p w14:paraId="00000122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X                    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</w:rPr>
              <w:t>X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557" w:type="dxa"/>
          </w:tcPr>
          <w:p w14:paraId="00000126" w14:textId="77777777" w:rsidR="00025CCA" w:rsidRDefault="0002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025CCA" w14:paraId="159BBF08" w14:textId="77777777">
        <w:trPr>
          <w:trHeight w:val="167"/>
          <w:jc w:val="center"/>
        </w:trPr>
        <w:tc>
          <w:tcPr>
            <w:tcW w:w="1219" w:type="dxa"/>
          </w:tcPr>
          <w:p w14:paraId="00000127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415" w:type="dxa"/>
            <w:vAlign w:val="center"/>
          </w:tcPr>
          <w:p w14:paraId="00000128" w14:textId="77777777" w:rsidR="00025CCA" w:rsidRDefault="00647EE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vertAlign w:val="superscript"/>
              </w:rPr>
              <w:t xml:space="preserve">do </w:t>
            </w:r>
            <w:r>
              <w:rPr>
                <w:b/>
                <w:sz w:val="22"/>
                <w:szCs w:val="22"/>
              </w:rPr>
              <w:t xml:space="preserve"> parcial</w:t>
            </w:r>
            <w:proofErr w:type="gramEnd"/>
          </w:p>
        </w:tc>
        <w:tc>
          <w:tcPr>
            <w:tcW w:w="4678" w:type="dxa"/>
            <w:gridSpan w:val="4"/>
          </w:tcPr>
          <w:p w14:paraId="00000129" w14:textId="77777777" w:rsidR="00025CCA" w:rsidRDefault="0002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</w:tcPr>
          <w:p w14:paraId="0000012D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X</w:t>
            </w:r>
          </w:p>
        </w:tc>
      </w:tr>
      <w:tr w:rsidR="00025CCA" w14:paraId="12FC4ABC" w14:textId="77777777">
        <w:trPr>
          <w:trHeight w:val="167"/>
          <w:jc w:val="center"/>
        </w:trPr>
        <w:tc>
          <w:tcPr>
            <w:tcW w:w="1219" w:type="dxa"/>
          </w:tcPr>
          <w:p w14:paraId="0000012E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415" w:type="dxa"/>
            <w:vAlign w:val="center"/>
          </w:tcPr>
          <w:p w14:paraId="0000012F" w14:textId="77777777" w:rsidR="00025CCA" w:rsidRDefault="00647EE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Recuperatorio 1º y/o </w:t>
            </w:r>
            <w:proofErr w:type="gramStart"/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vertAlign w:val="superscript"/>
              </w:rPr>
              <w:t xml:space="preserve">do </w:t>
            </w:r>
            <w:r>
              <w:rPr>
                <w:b/>
                <w:sz w:val="22"/>
                <w:szCs w:val="22"/>
              </w:rPr>
              <w:t xml:space="preserve"> parcial</w:t>
            </w:r>
            <w:proofErr w:type="gramEnd"/>
          </w:p>
        </w:tc>
        <w:tc>
          <w:tcPr>
            <w:tcW w:w="4678" w:type="dxa"/>
            <w:gridSpan w:val="4"/>
          </w:tcPr>
          <w:p w14:paraId="00000130" w14:textId="77777777" w:rsidR="00025CCA" w:rsidRDefault="0002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</w:tcPr>
          <w:p w14:paraId="00000134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X</w:t>
            </w:r>
          </w:p>
        </w:tc>
      </w:tr>
      <w:tr w:rsidR="00025CCA" w14:paraId="73CBC3F1" w14:textId="77777777">
        <w:trPr>
          <w:trHeight w:val="167"/>
          <w:jc w:val="center"/>
        </w:trPr>
        <w:tc>
          <w:tcPr>
            <w:tcW w:w="1219" w:type="dxa"/>
          </w:tcPr>
          <w:p w14:paraId="00000135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415" w:type="dxa"/>
            <w:vAlign w:val="center"/>
          </w:tcPr>
          <w:p w14:paraId="00000136" w14:textId="77777777" w:rsidR="00025CCA" w:rsidRDefault="00647EE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Coloquio integrador</w:t>
            </w:r>
          </w:p>
        </w:tc>
        <w:tc>
          <w:tcPr>
            <w:tcW w:w="4678" w:type="dxa"/>
            <w:gridSpan w:val="4"/>
          </w:tcPr>
          <w:p w14:paraId="00000137" w14:textId="77777777" w:rsidR="00025CCA" w:rsidRDefault="0002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</w:tcPr>
          <w:p w14:paraId="0000013B" w14:textId="77777777" w:rsidR="00025CCA" w:rsidRDefault="0064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X</w:t>
            </w:r>
          </w:p>
        </w:tc>
      </w:tr>
    </w:tbl>
    <w:p w14:paraId="0000013C" w14:textId="77777777" w:rsidR="00025CCA" w:rsidRDefault="00025CCA">
      <w:pPr>
        <w:spacing w:line="360" w:lineRule="auto"/>
        <w:jc w:val="both"/>
        <w:rPr>
          <w:sz w:val="24"/>
          <w:szCs w:val="24"/>
        </w:rPr>
      </w:pPr>
    </w:p>
    <w:sectPr w:rsidR="00025CCA" w:rsidSect="00CE1FA9">
      <w:pgSz w:w="16838" w:h="11906" w:orient="landscape"/>
      <w:pgMar w:top="1701" w:right="170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9D956" w14:textId="77777777" w:rsidR="00336B29" w:rsidRDefault="00336B29" w:rsidP="000E47C5">
      <w:r>
        <w:separator/>
      </w:r>
    </w:p>
  </w:endnote>
  <w:endnote w:type="continuationSeparator" w:id="0">
    <w:p w14:paraId="26F41C5F" w14:textId="77777777" w:rsidR="00336B29" w:rsidRDefault="00336B29" w:rsidP="000E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45DF" w14:textId="77777777" w:rsidR="00336B29" w:rsidRDefault="00336B29" w:rsidP="000E47C5">
      <w:r>
        <w:separator/>
      </w:r>
    </w:p>
  </w:footnote>
  <w:footnote w:type="continuationSeparator" w:id="0">
    <w:p w14:paraId="026374BF" w14:textId="77777777" w:rsidR="00336B29" w:rsidRDefault="00336B29" w:rsidP="000E47C5">
      <w:r>
        <w:continuationSeparator/>
      </w:r>
    </w:p>
  </w:footnote>
  <w:footnote w:id="1">
    <w:p w14:paraId="554F7865" w14:textId="6149425D" w:rsidR="00F50A7C" w:rsidRPr="00F84E15" w:rsidRDefault="00F50A7C" w:rsidP="00F50A7C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En plan vigente, Res CS </w:t>
      </w:r>
      <w:proofErr w:type="spellStart"/>
      <w:r>
        <w:t>N°</w:t>
      </w:r>
      <w:proofErr w:type="spellEnd"/>
      <w:r>
        <w:t xml:space="preserve"> 467/15. Para el Plan Res CS </w:t>
      </w:r>
      <w:proofErr w:type="spellStart"/>
      <w:r>
        <w:t>N°</w:t>
      </w:r>
      <w:proofErr w:type="spellEnd"/>
      <w:r>
        <w:t xml:space="preserve"> 182/03 pertenece al Núcleo Básico Electivo. Para el Plan Res CS </w:t>
      </w:r>
      <w:proofErr w:type="spellStart"/>
      <w:r>
        <w:t>N°</w:t>
      </w:r>
      <w:proofErr w:type="spellEnd"/>
      <w:r>
        <w:t xml:space="preserve"> 179/03 pertenece al Núcleo Básico Electivo.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18ED"/>
    <w:multiLevelType w:val="multilevel"/>
    <w:tmpl w:val="CFDE30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B70DE6"/>
    <w:multiLevelType w:val="multilevel"/>
    <w:tmpl w:val="DF9024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2E000A"/>
    <w:multiLevelType w:val="multilevel"/>
    <w:tmpl w:val="5D68B1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6A750A1"/>
    <w:multiLevelType w:val="multilevel"/>
    <w:tmpl w:val="11147D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13710B"/>
    <w:multiLevelType w:val="multilevel"/>
    <w:tmpl w:val="248092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AA27B05"/>
    <w:multiLevelType w:val="multilevel"/>
    <w:tmpl w:val="A510D982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CCA"/>
    <w:rsid w:val="00025CCA"/>
    <w:rsid w:val="000E47C5"/>
    <w:rsid w:val="001558AC"/>
    <w:rsid w:val="00336B29"/>
    <w:rsid w:val="0063787F"/>
    <w:rsid w:val="00647EE4"/>
    <w:rsid w:val="00BF755C"/>
    <w:rsid w:val="00C015E4"/>
    <w:rsid w:val="00CE1FA9"/>
    <w:rsid w:val="00F5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795B"/>
  <w15:docId w15:val="{D29E492D-74DD-4F3E-8C45-969770FA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8"/>
        <w:szCs w:val="28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975"/>
    <w:rPr>
      <w:rFonts w:eastAsia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81975"/>
    <w:pPr>
      <w:keepNext/>
      <w:spacing w:line="360" w:lineRule="auto"/>
      <w:ind w:left="4248"/>
      <w:jc w:val="right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19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rsid w:val="00581975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197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581975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581975"/>
    <w:pPr>
      <w:jc w:val="both"/>
    </w:pPr>
    <w:rPr>
      <w:rFonts w:cs="Times New Roman"/>
      <w:sz w:val="24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581975"/>
    <w:rPr>
      <w:rFonts w:ascii="Arial" w:eastAsia="Times New Roman" w:hAnsi="Arial" w:cs="Times New Roman"/>
      <w:sz w:val="24"/>
      <w:szCs w:val="20"/>
      <w:lang w:val="en-US" w:eastAsia="es-ES"/>
    </w:rPr>
  </w:style>
  <w:style w:type="paragraph" w:styleId="Textoindependiente2">
    <w:name w:val="Body Text 2"/>
    <w:basedOn w:val="Normal"/>
    <w:link w:val="Textoindependiente2Car"/>
    <w:rsid w:val="00581975"/>
    <w:rPr>
      <w:rFonts w:cs="Times New Roman"/>
      <w:b/>
      <w:sz w:val="24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581975"/>
    <w:rPr>
      <w:rFonts w:ascii="Arial" w:eastAsia="Times New Roman" w:hAnsi="Arial" w:cs="Times New Roman"/>
      <w:b/>
      <w:sz w:val="24"/>
      <w:szCs w:val="20"/>
      <w:lang w:val="en-US" w:eastAsia="es-ES"/>
    </w:rPr>
  </w:style>
  <w:style w:type="paragraph" w:customStyle="1" w:styleId="Normal1">
    <w:name w:val="Normal1"/>
    <w:rsid w:val="00581975"/>
    <w:rPr>
      <w:color w:val="000000"/>
      <w:lang w:val="es-ES_tradnl" w:eastAsia="es-ES"/>
    </w:rPr>
  </w:style>
  <w:style w:type="paragraph" w:styleId="Textonotapie">
    <w:name w:val="footnote text"/>
    <w:basedOn w:val="Normal"/>
    <w:link w:val="TextonotapieCar"/>
    <w:semiHidden/>
    <w:unhideWhenUsed/>
    <w:rsid w:val="00AB4F9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AB4F97"/>
    <w:rPr>
      <w:rFonts w:ascii="Arial" w:eastAsia="Times New Roman" w:hAnsi="Arial" w:cs="Arial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AB4F97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v8rmynzaeIs5YM/qlduhusrrOw==">AMUW2mX4n0hRQ1dFvS2ONuhRim+zyLQTIbcGeHsTTNRAYNgGoLRF4OoqNhsMzEzkOtPILAjPH4aG0bSCdK+UPOfMVh7T7UJu8QcKWh9EWx+3QF1Pko9uI7A=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2046</Words>
  <Characters>11254</Characters>
  <Application>Microsoft Office Word</Application>
  <DocSecurity>0</DocSecurity>
  <Lines>93</Lines>
  <Paragraphs>26</Paragraphs>
  <ScaleCrop>false</ScaleCrop>
  <Company/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2021-06-22T22:32:00Z</dcterms:created>
  <dcterms:modified xsi:type="dcterms:W3CDTF">2021-06-23T19:55:00Z</dcterms:modified>
</cp:coreProperties>
</file>